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BB13" w14:textId="77777777" w:rsidR="009239F7" w:rsidRPr="002F6A28" w:rsidRDefault="00ED2CD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BC3AAF5" w14:textId="77777777" w:rsidR="009239F7" w:rsidRPr="002F6A28" w:rsidRDefault="00ED2CD3" w:rsidP="002F6A28">
      <w:pPr>
        <w:jc w:val="center"/>
      </w:pPr>
      <w:r w:rsidRPr="002F6A28">
        <w:t>The following notification is being circulated in accordance with Article 10.6</w:t>
      </w:r>
    </w:p>
    <w:p w14:paraId="7C8257C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475FF" w14:paraId="72865F6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6EB19B" w14:textId="77777777" w:rsidR="00F85C99" w:rsidRPr="002F6A28" w:rsidRDefault="00ED2C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4A05D40" w14:textId="77777777" w:rsidR="00F85C99" w:rsidRPr="002F6A28" w:rsidRDefault="00ED2CD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Trinidad and Tobago</w:t>
            </w:r>
            <w:bookmarkEnd w:id="1"/>
            <w:r w:rsidRPr="002F6A28">
              <w:t xml:space="preserve"> </w:t>
            </w:r>
          </w:p>
          <w:p w14:paraId="57264733" w14:textId="77777777" w:rsidR="00F85C99" w:rsidRPr="002F6A28" w:rsidRDefault="00ED2CD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475FF" w14:paraId="62E3BF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686CD" w14:textId="77777777" w:rsidR="00F85C99" w:rsidRPr="002F6A28" w:rsidRDefault="00ED2C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E2989" w14:textId="77777777" w:rsidR="00F85C99" w:rsidRPr="002F6A28" w:rsidRDefault="00ED2CD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63C360D" w14:textId="77777777" w:rsidR="009F64D7" w:rsidRPr="002F6A28" w:rsidRDefault="00ED2CD3" w:rsidP="00155128">
            <w:pPr>
              <w:spacing w:before="120" w:after="120"/>
              <w:jc w:val="left"/>
            </w:pPr>
            <w:r w:rsidRPr="002F6A28">
              <w:t>Trinidad and Tobago Bureau of Standards</w:t>
            </w:r>
            <w:r w:rsidRPr="002F6A28">
              <w:br/>
              <w:t>1-2 Century Drive Trincity Industrial Estate</w:t>
            </w:r>
            <w:r w:rsidRPr="002F6A28">
              <w:br/>
              <w:t>Macoya, Tunapuna</w:t>
            </w:r>
            <w:r w:rsidRPr="002F6A28">
              <w:br/>
              <w:t>Tel : 868-645-6222</w:t>
            </w:r>
            <w:r w:rsidRPr="002F6A28">
              <w:br/>
              <w:t>Fax: 868-663-4335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ttbs@ttbs.org.tt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757F6F">
                <w:rPr>
                  <w:rStyle w:val="Hyperlink"/>
                </w:rPr>
                <w:t>www.gottbs.com</w:t>
              </w:r>
            </w:hyperlink>
            <w:r>
              <w:t xml:space="preserve"> </w:t>
            </w:r>
            <w:r w:rsidRPr="002F6A28">
              <w:t xml:space="preserve"> </w:t>
            </w:r>
            <w:bookmarkEnd w:id="5"/>
          </w:p>
          <w:p w14:paraId="6EF25CEC" w14:textId="77777777" w:rsidR="00F85C99" w:rsidRPr="002F6A28" w:rsidRDefault="00ED2CD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475FF" w14:paraId="20C421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73FD6" w14:textId="77777777" w:rsidR="00F85C99" w:rsidRPr="002F6A28" w:rsidRDefault="00ED2C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8CB83" w14:textId="77777777" w:rsidR="00F85C99" w:rsidRPr="0058336F" w:rsidRDefault="00ED2CD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475FF" w14:paraId="3D906B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6CB59" w14:textId="77777777" w:rsidR="00F85C99" w:rsidRPr="002F6A28" w:rsidRDefault="00ED2C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3D433" w14:textId="77777777" w:rsidR="00F85C99" w:rsidRPr="002F6A28" w:rsidRDefault="00ED2CD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Lamps and related equipment (ICS 29.140)</w:t>
            </w:r>
            <w:bookmarkStart w:id="20" w:name="sps3a"/>
            <w:bookmarkEnd w:id="20"/>
          </w:p>
        </w:tc>
      </w:tr>
      <w:tr w:rsidR="00C475FF" w14:paraId="503668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DE9C8" w14:textId="77777777" w:rsidR="00F85C99" w:rsidRPr="002F6A28" w:rsidRDefault="00ED2CD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E7E76" w14:textId="77777777" w:rsidR="00F85C99" w:rsidRPr="002F6A28" w:rsidRDefault="00ED2CD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Energy labelling – Compact fluorescent lamps and light emitting diode lamps - Compulsory requirements (8</w:t>
            </w:r>
            <w:r w:rsidR="00AB74F0"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475FF" w14:paraId="117D8E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E9A6B" w14:textId="77777777" w:rsidR="00F85C99" w:rsidRPr="002F6A28" w:rsidRDefault="00ED2C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6EBF1" w14:textId="77777777" w:rsidR="00F85C99" w:rsidRPr="002F6A28" w:rsidRDefault="00ED2CD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establishes compulsory requirements for the relevant test methods, general labelling requirements, energy labelling requirements and safety and performance requirements for the following:</w:t>
            </w:r>
          </w:p>
          <w:p w14:paraId="2BA633B3" w14:textId="77777777" w:rsidR="00FE448B" w:rsidRPr="00C379C8" w:rsidRDefault="00ED2CD3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Self-ballasted compact fluorescent lamps (CFL) of voltages &gt; 50 V; </w:t>
            </w:r>
          </w:p>
          <w:p w14:paraId="221A27E1" w14:textId="77777777" w:rsidR="00FE448B" w:rsidRPr="00C379C8" w:rsidRDefault="00ED2CD3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Integrated light-emitting diode lamps (LEDi) for stable operations, intended for domestic and similar general lighting purposes, having a: </w:t>
            </w:r>
          </w:p>
          <w:p w14:paraId="6078B203" w14:textId="77777777" w:rsidR="00FE448B" w:rsidRPr="00C379C8" w:rsidRDefault="00ED2CD3" w:rsidP="002F6A28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C379C8">
              <w:t>rated power ≤60 W;</w:t>
            </w:r>
          </w:p>
          <w:p w14:paraId="1151FDAD" w14:textId="77777777" w:rsidR="00FE448B" w:rsidRPr="00C379C8" w:rsidRDefault="00ED2CD3" w:rsidP="002F6A28">
            <w:pPr>
              <w:numPr>
                <w:ilvl w:val="1"/>
                <w:numId w:val="16"/>
              </w:numPr>
              <w:spacing w:before="120" w:after="120"/>
              <w:jc w:val="left"/>
            </w:pPr>
            <w:r w:rsidRPr="00C379C8">
              <w:t>rated voltage of &gt; 50 V a.c ≤ 250 V a.c.</w:t>
            </w:r>
          </w:p>
        </w:tc>
      </w:tr>
      <w:tr w:rsidR="00C475FF" w14:paraId="37E460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05DE7" w14:textId="77777777" w:rsidR="00F85C99" w:rsidRPr="002F6A28" w:rsidRDefault="00ED2C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F3080" w14:textId="77777777" w:rsidR="00F85C99" w:rsidRPr="002F6A28" w:rsidRDefault="00ED2CD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Harmonization; Cost saving and productivity enhancement</w:t>
            </w:r>
            <w:bookmarkStart w:id="27" w:name="sps7f"/>
            <w:bookmarkEnd w:id="27"/>
          </w:p>
        </w:tc>
      </w:tr>
      <w:tr w:rsidR="00C475FF" w14:paraId="7DA547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BDCEB" w14:textId="77777777" w:rsidR="00F85C99" w:rsidRPr="002F6A28" w:rsidRDefault="00ED2CD3" w:rsidP="00AB74F0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71364" w14:textId="77777777" w:rsidR="00072B36" w:rsidRPr="002F6A28" w:rsidRDefault="00ED2CD3" w:rsidP="00AB74F0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5FAC03" w14:textId="77777777" w:rsidR="00F85C99" w:rsidRPr="00674F93" w:rsidRDefault="00ED2CD3" w:rsidP="00AB74F0">
            <w:pPr>
              <w:keepNext/>
              <w:keepLines/>
              <w:spacing w:before="120" w:after="120"/>
            </w:pPr>
            <w:r w:rsidRPr="00674F93">
              <w:rPr>
                <w:bCs/>
              </w:rPr>
              <w:t>CARICOM Regional Standard</w:t>
            </w:r>
          </w:p>
          <w:p w14:paraId="3656A9E9" w14:textId="77777777" w:rsidR="009F64D7" w:rsidRPr="00674F93" w:rsidRDefault="00ED2CD3" w:rsidP="00AB74F0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674F93">
              <w:rPr>
                <w:bCs/>
              </w:rPr>
              <w:t>CRS 58, Energy Labelling – Compact fluorescent lamps and light emitting diode lamps –Requirements</w:t>
            </w:r>
          </w:p>
          <w:p w14:paraId="35C119AD" w14:textId="77777777" w:rsidR="009F64D7" w:rsidRPr="00674F93" w:rsidRDefault="00ED2CD3" w:rsidP="00AB74F0">
            <w:pPr>
              <w:keepNext/>
              <w:keepLines/>
              <w:spacing w:after="120"/>
              <w:rPr>
                <w:bCs/>
              </w:rPr>
            </w:pPr>
            <w:r w:rsidRPr="00674F93">
              <w:rPr>
                <w:bCs/>
              </w:rPr>
              <w:t>International Electrotechnical Commission</w:t>
            </w:r>
          </w:p>
          <w:p w14:paraId="4C02C702" w14:textId="77777777" w:rsidR="009F64D7" w:rsidRPr="00674F93" w:rsidRDefault="00ED2CD3" w:rsidP="00AB74F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674F93">
              <w:rPr>
                <w:bCs/>
              </w:rPr>
              <w:t>IEC 61000-3-2, Electromagnetic compatibility (EMC) - Part 3-2: Limits - Limits for harmonic current emissions (equipment input current ≤16 A per phase)</w:t>
            </w:r>
          </w:p>
          <w:p w14:paraId="2199644E" w14:textId="77777777" w:rsidR="009F64D7" w:rsidRPr="00674F93" w:rsidRDefault="00ED2CD3" w:rsidP="00AB74F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674F93">
              <w:rPr>
                <w:bCs/>
              </w:rPr>
              <w:t>IEC 62560, Self-ballasted LED lamps for general lighting services by voltage &gt; 50 V - Safety specifications</w:t>
            </w:r>
          </w:p>
          <w:p w14:paraId="14A9D03E" w14:textId="77777777" w:rsidR="009F64D7" w:rsidRPr="00674F93" w:rsidRDefault="00ED2CD3" w:rsidP="00AB74F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674F93">
              <w:rPr>
                <w:bCs/>
              </w:rPr>
              <w:t>IEC 62612, Self-ballasted LED lamps for general lighting services with supply voltages &gt; 50 V - Performance requirements</w:t>
            </w:r>
          </w:p>
          <w:p w14:paraId="51A68E13" w14:textId="77777777" w:rsidR="009F64D7" w:rsidRPr="002F6A28" w:rsidRDefault="00ED2CD3" w:rsidP="00AB74F0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674F93">
              <w:rPr>
                <w:bCs/>
              </w:rPr>
              <w:t>IEC 60969, Self-ballasted compact fluorescent lamps for general lighting services - Performance requirements</w:t>
            </w:r>
          </w:p>
        </w:tc>
      </w:tr>
      <w:tr w:rsidR="00C475FF" w14:paraId="6DC881B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74C4" w14:textId="77777777" w:rsidR="00EE3A11" w:rsidRPr="002F6A28" w:rsidRDefault="00ED2C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A51F5" w14:textId="77777777" w:rsidR="00EE3A11" w:rsidRPr="002F6A28" w:rsidRDefault="00ED2CD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316D3D0" w14:textId="77777777" w:rsidR="00EE3A11" w:rsidRPr="002F6A28" w:rsidRDefault="00ED2CD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475FF" w14:paraId="56C37E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446CE" w14:textId="77777777" w:rsidR="00F85C99" w:rsidRPr="002F6A28" w:rsidRDefault="00ED2CD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D2F11" w14:textId="77777777" w:rsidR="00F85C99" w:rsidRPr="002F6A28" w:rsidRDefault="00ED2CD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475FF" w14:paraId="3ECB446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4C6F776" w14:textId="77777777" w:rsidR="00F85C99" w:rsidRPr="002F6A28" w:rsidRDefault="00ED2CD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0103BB1" w14:textId="77777777" w:rsidR="00F85C99" w:rsidRPr="002F6A28" w:rsidRDefault="00ED2CD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9CEB644" w14:textId="77777777" w:rsidR="00AB74F0" w:rsidRDefault="00ED2CD3" w:rsidP="00B16145">
            <w:pPr>
              <w:keepNext/>
              <w:keepLines/>
              <w:spacing w:before="120" w:after="120"/>
              <w:jc w:val="left"/>
            </w:pPr>
            <w:r w:rsidRPr="002F6A28">
              <w:t>Trinidad and Tobago Bureau of Standards website</w:t>
            </w:r>
            <w:r w:rsidRPr="002F6A28">
              <w:br/>
              <w:t>1-2 Century Drive, Trincity Industrial Estate</w:t>
            </w:r>
            <w:r w:rsidRPr="002F6A28">
              <w:br/>
              <w:t>Macoya, Tunapuna</w:t>
            </w:r>
            <w:r w:rsidRPr="002F6A28">
              <w:br/>
              <w:t>Tel: 868-645-6222</w:t>
            </w:r>
            <w:r w:rsidRPr="002F6A28">
              <w:br/>
              <w:t>Fax: 868-663-4335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ttbs@ttbs.org.tt</w:t>
              </w:r>
            </w:hyperlink>
            <w:r w:rsidRPr="002F6A28">
              <w:t xml:space="preserve"> </w:t>
            </w:r>
          </w:p>
          <w:p w14:paraId="5A3314B0" w14:textId="77777777" w:rsidR="009F64D7" w:rsidRPr="00AB74F0" w:rsidRDefault="00ED2CD3" w:rsidP="00B16145">
            <w:pPr>
              <w:keepNext/>
              <w:keepLines/>
              <w:spacing w:before="120" w:after="120"/>
              <w:jc w:val="left"/>
            </w:pPr>
            <w:r w:rsidRPr="00AB74F0">
              <w:t>http://kalipa.gottbs.com/embed_gen/index.php?doc=2020-07-03-76023TTCS%2011%2020XX%20-%20Energy%20Labelling%2020200703.pdf</w:t>
            </w:r>
          </w:p>
          <w:p w14:paraId="74AD7E18" w14:textId="77777777" w:rsidR="009F64D7" w:rsidRPr="002F6A28" w:rsidRDefault="00251410" w:rsidP="00B16145">
            <w:pPr>
              <w:keepNext/>
              <w:keepLines/>
              <w:spacing w:before="120" w:after="120"/>
            </w:pPr>
            <w:hyperlink r:id="rId10" w:history="1">
              <w:r w:rsidR="00ED2CD3" w:rsidRPr="002F6A28">
                <w:rPr>
                  <w:color w:val="0000FF"/>
                  <w:u w:val="single"/>
                </w:rPr>
                <w:t>https://members.wto.org/crnattachments/2020/TBT/TTO/20_4298_00_e.pdf</w:t>
              </w:r>
            </w:hyperlink>
            <w:bookmarkEnd w:id="40"/>
          </w:p>
        </w:tc>
      </w:tr>
    </w:tbl>
    <w:p w14:paraId="170BC34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9986" w14:textId="77777777" w:rsidR="0051734F" w:rsidRDefault="00ED2CD3">
      <w:r>
        <w:separator/>
      </w:r>
    </w:p>
  </w:endnote>
  <w:endnote w:type="continuationSeparator" w:id="0">
    <w:p w14:paraId="32AE7F57" w14:textId="77777777" w:rsidR="0051734F" w:rsidRDefault="00ED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5C03" w14:textId="77777777" w:rsidR="009239F7" w:rsidRPr="002F6A28" w:rsidRDefault="00ED2CD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2576" w14:textId="77777777" w:rsidR="009239F7" w:rsidRPr="002F6A28" w:rsidRDefault="00ED2CD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0D2C" w14:textId="77777777" w:rsidR="00EE3A11" w:rsidRPr="002F6A28" w:rsidRDefault="00ED2CD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C2BF" w14:textId="77777777" w:rsidR="0051734F" w:rsidRDefault="00ED2CD3">
      <w:r>
        <w:separator/>
      </w:r>
    </w:p>
  </w:footnote>
  <w:footnote w:type="continuationSeparator" w:id="0">
    <w:p w14:paraId="03F040F4" w14:textId="77777777" w:rsidR="0051734F" w:rsidRDefault="00ED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3216" w14:textId="77777777" w:rsidR="009239F7" w:rsidRPr="002F6A28" w:rsidRDefault="00ED2C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91D346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705F62" w14:textId="77777777" w:rsidR="009239F7" w:rsidRPr="002F6A28" w:rsidRDefault="00ED2C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08182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458C" w14:textId="77777777" w:rsidR="009239F7" w:rsidRPr="002F6A28" w:rsidRDefault="00ED2C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G/TBT/N/TTO/124</w:t>
    </w:r>
    <w:bookmarkEnd w:id="41"/>
  </w:p>
  <w:p w14:paraId="39B1B8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FD47D6" w14:textId="77777777" w:rsidR="009239F7" w:rsidRPr="002F6A28" w:rsidRDefault="00ED2CD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B9C6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75FF" w14:paraId="1988EBF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8CD1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D04F8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475FF" w14:paraId="6786534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D0C2BD" w14:textId="77777777" w:rsidR="00ED54E0" w:rsidRPr="009239F7" w:rsidRDefault="00251410" w:rsidP="00B801E9">
          <w:pPr>
            <w:jc w:val="left"/>
          </w:pPr>
          <w:r>
            <w:rPr>
              <w:lang w:eastAsia="en-GB"/>
            </w:rPr>
            <w:pict w14:anchorId="378E38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B90F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75FF" w14:paraId="4F434A4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3610C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2D91E8" w14:textId="77777777" w:rsidR="009239F7" w:rsidRPr="002F6A28" w:rsidRDefault="00ED2CD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G/TBT/N/TTO/124</w:t>
          </w:r>
          <w:bookmarkEnd w:id="43"/>
        </w:p>
      </w:tc>
    </w:tr>
    <w:tr w:rsidR="00C475FF" w14:paraId="2F7378F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6175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ADE6B" w14:textId="5EA96298" w:rsidR="00ED54E0" w:rsidRPr="009239F7" w:rsidRDefault="00ED2CD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July 2020</w:t>
          </w:r>
        </w:p>
      </w:tc>
    </w:tr>
    <w:tr w:rsidR="00C475FF" w14:paraId="07A54CA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F4DAF2" w14:textId="06BB2AD0" w:rsidR="00ED54E0" w:rsidRPr="009239F7" w:rsidRDefault="00ED2CD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51410">
            <w:rPr>
              <w:color w:val="FF0000"/>
              <w:szCs w:val="16"/>
            </w:rPr>
            <w:t>4912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8064BB" w14:textId="77777777" w:rsidR="00ED54E0" w:rsidRPr="009239F7" w:rsidRDefault="00ED2CD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475FF" w14:paraId="364A5BD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7A59BD" w14:textId="77777777" w:rsidR="00ED54E0" w:rsidRPr="009239F7" w:rsidRDefault="00ED2CD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D194E8" w14:textId="77777777" w:rsidR="00ED54E0" w:rsidRPr="002F6A28" w:rsidRDefault="00ED2CD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DB19BC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503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0E860E" w:tentative="1">
      <w:start w:val="1"/>
      <w:numFmt w:val="lowerLetter"/>
      <w:lvlText w:val="%2."/>
      <w:lvlJc w:val="left"/>
      <w:pPr>
        <w:ind w:left="1080" w:hanging="360"/>
      </w:pPr>
    </w:lvl>
    <w:lvl w:ilvl="2" w:tplc="46220980" w:tentative="1">
      <w:start w:val="1"/>
      <w:numFmt w:val="lowerRoman"/>
      <w:lvlText w:val="%3."/>
      <w:lvlJc w:val="right"/>
      <w:pPr>
        <w:ind w:left="1800" w:hanging="180"/>
      </w:pPr>
    </w:lvl>
    <w:lvl w:ilvl="3" w:tplc="F72E471C" w:tentative="1">
      <w:start w:val="1"/>
      <w:numFmt w:val="decimal"/>
      <w:lvlText w:val="%4."/>
      <w:lvlJc w:val="left"/>
      <w:pPr>
        <w:ind w:left="2520" w:hanging="360"/>
      </w:pPr>
    </w:lvl>
    <w:lvl w:ilvl="4" w:tplc="5450E60A" w:tentative="1">
      <w:start w:val="1"/>
      <w:numFmt w:val="lowerLetter"/>
      <w:lvlText w:val="%5."/>
      <w:lvlJc w:val="left"/>
      <w:pPr>
        <w:ind w:left="3240" w:hanging="360"/>
      </w:pPr>
    </w:lvl>
    <w:lvl w:ilvl="5" w:tplc="A950E368" w:tentative="1">
      <w:start w:val="1"/>
      <w:numFmt w:val="lowerRoman"/>
      <w:lvlText w:val="%6."/>
      <w:lvlJc w:val="right"/>
      <w:pPr>
        <w:ind w:left="3960" w:hanging="180"/>
      </w:pPr>
    </w:lvl>
    <w:lvl w:ilvl="6" w:tplc="A5068794" w:tentative="1">
      <w:start w:val="1"/>
      <w:numFmt w:val="decimal"/>
      <w:lvlText w:val="%7."/>
      <w:lvlJc w:val="left"/>
      <w:pPr>
        <w:ind w:left="4680" w:hanging="360"/>
      </w:pPr>
    </w:lvl>
    <w:lvl w:ilvl="7" w:tplc="AAF89792" w:tentative="1">
      <w:start w:val="1"/>
      <w:numFmt w:val="lowerLetter"/>
      <w:lvlText w:val="%8."/>
      <w:lvlJc w:val="left"/>
      <w:pPr>
        <w:ind w:left="5400" w:hanging="360"/>
      </w:pPr>
    </w:lvl>
    <w:lvl w:ilvl="8" w:tplc="6664AB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232F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E54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461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3A5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24A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70C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98A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D8AE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AB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834B1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E0E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1E5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545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707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0D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DA7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8C0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24B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25580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025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224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605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AC8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E41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AE6D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88C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9A4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1410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734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74F93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57F6F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64D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74F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5FF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2CD3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2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67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b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bs@ttbs.org.t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TO/20_429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bs@ttbs.org.t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52287CB0.dotm</Template>
  <TotalTime>88</TotalTime>
  <Pages>2</Pages>
  <Words>456</Words>
  <Characters>2970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744ea007-b007-4c80-a7b7-80c3cb1f2423</vt:lpwstr>
  </property>
  <property fmtid="{D5CDD505-2E9C-101B-9397-08002B2CF9AE}" pid="4" name="WTOCLASSIFICATION">
    <vt:lpwstr>WTO OFFICIAL</vt:lpwstr>
  </property>
</Properties>
</file>