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81502" w:rsidP="00D81502">
      <w:pPr>
        <w:pStyle w:val="Titre"/>
        <w:spacing w:before="240"/>
        <w:rPr>
          <w:caps w:val="0"/>
          <w:kern w:val="0"/>
        </w:rPr>
      </w:pPr>
      <w:r w:rsidRPr="002F6A28">
        <w:rPr>
          <w:caps w:val="0"/>
          <w:kern w:val="0"/>
        </w:rPr>
        <w:t>NOTIFICATION</w:t>
      </w:r>
    </w:p>
    <w:p w:rsidR="009239F7" w:rsidRPr="002F6A28" w:rsidRDefault="00D8150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C645A" w:rsidTr="0069259F">
        <w:tc>
          <w:tcPr>
            <w:tcW w:w="713" w:type="dxa"/>
            <w:tcBorders>
              <w:bottom w:val="single" w:sz="6" w:space="0" w:color="auto"/>
            </w:tcBorders>
            <w:shd w:val="clear" w:color="auto" w:fill="auto"/>
          </w:tcPr>
          <w:p w:rsidR="00F85C99" w:rsidRPr="002F6A28" w:rsidRDefault="00D8150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8150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D8150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C645A" w:rsidTr="0069259F">
        <w:tc>
          <w:tcPr>
            <w:tcW w:w="713" w:type="dxa"/>
            <w:tcBorders>
              <w:top w:val="single" w:sz="6" w:space="0" w:color="auto"/>
              <w:bottom w:val="single" w:sz="6" w:space="0" w:color="auto"/>
            </w:tcBorders>
            <w:shd w:val="clear" w:color="auto" w:fill="auto"/>
          </w:tcPr>
          <w:p w:rsidR="00F85C99" w:rsidRPr="002F6A28" w:rsidRDefault="00D8150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8150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rsidR="00F85C99" w:rsidRPr="002F6A28" w:rsidRDefault="00D8150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EC645A" w:rsidTr="0069259F">
        <w:tc>
          <w:tcPr>
            <w:tcW w:w="713" w:type="dxa"/>
            <w:tcBorders>
              <w:top w:val="single" w:sz="6" w:space="0" w:color="auto"/>
              <w:bottom w:val="single" w:sz="6" w:space="0" w:color="auto"/>
            </w:tcBorders>
            <w:shd w:val="clear" w:color="auto" w:fill="auto"/>
          </w:tcPr>
          <w:p w:rsidR="00F85C99" w:rsidRPr="002F6A28" w:rsidRDefault="00D81502" w:rsidP="00D81502">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D81502" w:rsidP="00D81502">
            <w:pPr>
              <w:spacing w:before="80" w:after="8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C645A" w:rsidTr="0069259F">
        <w:tc>
          <w:tcPr>
            <w:tcW w:w="713" w:type="dxa"/>
            <w:tcBorders>
              <w:top w:val="single" w:sz="6" w:space="0" w:color="auto"/>
              <w:bottom w:val="single" w:sz="6" w:space="0" w:color="auto"/>
            </w:tcBorders>
            <w:shd w:val="clear" w:color="auto" w:fill="auto"/>
          </w:tcPr>
          <w:p w:rsidR="00F85C99" w:rsidRPr="002F6A28" w:rsidRDefault="00D81502" w:rsidP="00D81502">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81502" w:rsidP="00D81502">
            <w:pPr>
              <w:spacing w:before="80" w:after="8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Passenger Cars; Motor cars and other motor vehicles principally designed for the transport of persons (other than those of heading 87.02), including station wagons and racing cars (HS 8703); Road vehicles in general (ICS 43.020)</w:t>
            </w:r>
            <w:bookmarkStart w:id="20" w:name="sps3a"/>
            <w:bookmarkEnd w:id="20"/>
          </w:p>
        </w:tc>
      </w:tr>
      <w:tr w:rsidR="00EC645A" w:rsidTr="0069259F">
        <w:tc>
          <w:tcPr>
            <w:tcW w:w="713" w:type="dxa"/>
            <w:tcBorders>
              <w:top w:val="single" w:sz="6" w:space="0" w:color="auto"/>
              <w:bottom w:val="single" w:sz="6" w:space="0" w:color="auto"/>
            </w:tcBorders>
            <w:shd w:val="clear" w:color="auto" w:fill="auto"/>
          </w:tcPr>
          <w:p w:rsidR="00F85C99" w:rsidRPr="002F6A28" w:rsidRDefault="00D81502" w:rsidP="00D81502">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81502" w:rsidP="00D81502">
            <w:pPr>
              <w:spacing w:before="80" w:after="8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Fuel Consumption Evaluation Methods and Targets for Passenger Cars (8 page(s), in Chinese)</w:t>
            </w:r>
            <w:bookmarkStart w:id="22" w:name="sps5a"/>
            <w:bookmarkStart w:id="23" w:name="sps5c"/>
            <w:bookmarkStart w:id="24" w:name="sps5b"/>
            <w:bookmarkEnd w:id="22"/>
            <w:bookmarkEnd w:id="23"/>
            <w:bookmarkEnd w:id="24"/>
          </w:p>
        </w:tc>
      </w:tr>
      <w:tr w:rsidR="00EC645A" w:rsidTr="0069259F">
        <w:tc>
          <w:tcPr>
            <w:tcW w:w="713" w:type="dxa"/>
            <w:tcBorders>
              <w:top w:val="single" w:sz="6" w:space="0" w:color="auto"/>
              <w:bottom w:val="single" w:sz="6" w:space="0" w:color="auto"/>
            </w:tcBorders>
            <w:shd w:val="clear" w:color="auto" w:fill="auto"/>
          </w:tcPr>
          <w:p w:rsidR="00F85C99" w:rsidRPr="002F6A28" w:rsidRDefault="00D81502" w:rsidP="00D81502">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81502" w:rsidP="00D81502">
            <w:pPr>
              <w:spacing w:before="80" w:after="80"/>
              <w:rPr>
                <w:b/>
              </w:rPr>
            </w:pPr>
            <w:bookmarkStart w:id="25" w:name="X_TBT_Reg_6A"/>
            <w:r w:rsidRPr="002F6A28">
              <w:rPr>
                <w:b/>
              </w:rPr>
              <w:t>Description of content</w:t>
            </w:r>
            <w:bookmarkEnd w:id="25"/>
            <w:r w:rsidRPr="002F6A28">
              <w:rPr>
                <w:b/>
              </w:rPr>
              <w:t>:</w:t>
            </w:r>
            <w:r w:rsidR="00FE448B" w:rsidRPr="00C379C8">
              <w:t xml:space="preserve"> This standard specifies the evaluation methods and index of the fuel consumption and the corporation average fuel consumption (CAFC) for passenger cars that will be implemented from 2021. This standard applies to all category M1 vehicles, including new energy vehicles whose GVW are not exceeding 3500 kg. All the technical contents of this standard are mandatory.</w:t>
            </w:r>
          </w:p>
        </w:tc>
      </w:tr>
      <w:tr w:rsidR="00EC645A" w:rsidTr="0069259F">
        <w:tc>
          <w:tcPr>
            <w:tcW w:w="713" w:type="dxa"/>
            <w:tcBorders>
              <w:top w:val="single" w:sz="6" w:space="0" w:color="auto"/>
              <w:bottom w:val="single" w:sz="6" w:space="0" w:color="auto"/>
            </w:tcBorders>
            <w:shd w:val="clear" w:color="auto" w:fill="auto"/>
          </w:tcPr>
          <w:p w:rsidR="00F85C99" w:rsidRPr="002F6A28" w:rsidRDefault="00D81502" w:rsidP="00D81502">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81502" w:rsidP="00D81502">
            <w:pPr>
              <w:spacing w:before="80" w:after="8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w:t>
            </w:r>
            <w:bookmarkStart w:id="27" w:name="sps7f"/>
            <w:bookmarkEnd w:id="27"/>
          </w:p>
        </w:tc>
      </w:tr>
      <w:tr w:rsidR="00EC645A" w:rsidTr="0069259F">
        <w:tc>
          <w:tcPr>
            <w:tcW w:w="713" w:type="dxa"/>
            <w:tcBorders>
              <w:top w:val="single" w:sz="6" w:space="0" w:color="auto"/>
              <w:bottom w:val="single" w:sz="6" w:space="0" w:color="auto"/>
            </w:tcBorders>
            <w:shd w:val="clear" w:color="auto" w:fill="auto"/>
          </w:tcPr>
          <w:p w:rsidR="00F85C99" w:rsidRPr="002F6A28" w:rsidRDefault="00D81502" w:rsidP="00D81502">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81502" w:rsidP="00D81502">
            <w:pPr>
              <w:spacing w:before="80" w:after="80"/>
            </w:pPr>
            <w:bookmarkStart w:id="28" w:name="X_TBT_Reg_8A"/>
            <w:r w:rsidRPr="002F6A28">
              <w:rPr>
                <w:b/>
              </w:rPr>
              <w:t>Relevant documents</w:t>
            </w:r>
            <w:bookmarkEnd w:id="28"/>
            <w:r w:rsidRPr="002F6A28">
              <w:rPr>
                <w:b/>
              </w:rPr>
              <w:t>:</w:t>
            </w:r>
            <w:r w:rsidR="00EE3A11" w:rsidRPr="002F6A28">
              <w:t xml:space="preserve"> </w:t>
            </w:r>
          </w:p>
          <w:p w:rsidR="00F85C99" w:rsidRPr="002F6A28" w:rsidRDefault="00D81502" w:rsidP="005E3965">
            <w:pPr>
              <w:pStyle w:val="Paragraphedeliste"/>
              <w:numPr>
                <w:ilvl w:val="0"/>
                <w:numId w:val="16"/>
              </w:numPr>
              <w:spacing w:before="120" w:after="120"/>
            </w:pPr>
            <w:r w:rsidRPr="005E3965">
              <w:rPr>
                <w:bCs/>
              </w:rPr>
              <w:t>Amendment of Passenger Cars Corporate Average Fuel Consumption and New Energy Vehicles Credits Regulation</w:t>
            </w:r>
          </w:p>
        </w:tc>
      </w:tr>
      <w:tr w:rsidR="00EC645A" w:rsidTr="00AE6CC8">
        <w:trPr>
          <w:cantSplit/>
        </w:trPr>
        <w:tc>
          <w:tcPr>
            <w:tcW w:w="713" w:type="dxa"/>
            <w:tcBorders>
              <w:top w:val="single" w:sz="6" w:space="0" w:color="auto"/>
              <w:bottom w:val="single" w:sz="6" w:space="0" w:color="auto"/>
            </w:tcBorders>
            <w:shd w:val="clear" w:color="auto" w:fill="auto"/>
          </w:tcPr>
          <w:p w:rsidR="00EE3A11" w:rsidRPr="002F6A28" w:rsidRDefault="00D81502" w:rsidP="00D81502">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81502" w:rsidP="00D81502">
            <w:pPr>
              <w:spacing w:before="80" w:after="8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D81502" w:rsidP="008953C4">
            <w:pPr>
              <w:spacing w:after="120"/>
            </w:pPr>
            <w:bookmarkStart w:id="32" w:name="X_TBT_Reg_9B"/>
            <w:r w:rsidRPr="002F6A28">
              <w:rPr>
                <w:b/>
              </w:rPr>
              <w:t>Proposed date of entry into force</w:t>
            </w:r>
            <w:bookmarkEnd w:id="32"/>
            <w:r w:rsidRPr="002F6A28">
              <w:rPr>
                <w:b/>
              </w:rPr>
              <w:t>:</w:t>
            </w:r>
            <w:r w:rsidRPr="00C379C8">
              <w:t xml:space="preserve"> 1 July 2020</w:t>
            </w:r>
            <w:bookmarkStart w:id="33" w:name="sps11a"/>
            <w:bookmarkStart w:id="34" w:name="sps11b"/>
            <w:bookmarkEnd w:id="33"/>
            <w:bookmarkEnd w:id="34"/>
          </w:p>
        </w:tc>
      </w:tr>
      <w:tr w:rsidR="00EC645A" w:rsidTr="0069259F">
        <w:tc>
          <w:tcPr>
            <w:tcW w:w="713" w:type="dxa"/>
            <w:tcBorders>
              <w:top w:val="single" w:sz="6" w:space="0" w:color="auto"/>
              <w:bottom w:val="single" w:sz="6" w:space="0" w:color="auto"/>
            </w:tcBorders>
            <w:shd w:val="clear" w:color="auto" w:fill="auto"/>
          </w:tcPr>
          <w:p w:rsidR="00F85C99" w:rsidRPr="002F6A28" w:rsidRDefault="00D81502" w:rsidP="00D81502">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81502" w:rsidP="00D81502">
            <w:pPr>
              <w:spacing w:before="80" w:after="8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C645A" w:rsidTr="0069259F">
        <w:tc>
          <w:tcPr>
            <w:tcW w:w="713" w:type="dxa"/>
            <w:tcBorders>
              <w:top w:val="single" w:sz="6" w:space="0" w:color="auto"/>
            </w:tcBorders>
            <w:shd w:val="clear" w:color="auto" w:fill="auto"/>
          </w:tcPr>
          <w:p w:rsidR="00F85C99" w:rsidRPr="002F6A28" w:rsidRDefault="00D81502" w:rsidP="00D81502">
            <w:pPr>
              <w:spacing w:before="80" w:after="80"/>
              <w:rPr>
                <w:b/>
              </w:rPr>
            </w:pPr>
            <w:r w:rsidRPr="002F6A28">
              <w:rPr>
                <w:b/>
              </w:rPr>
              <w:t>11.</w:t>
            </w:r>
          </w:p>
        </w:tc>
        <w:tc>
          <w:tcPr>
            <w:tcW w:w="8546" w:type="dxa"/>
            <w:tcBorders>
              <w:top w:val="single" w:sz="6" w:space="0" w:color="auto"/>
            </w:tcBorders>
            <w:shd w:val="clear" w:color="auto" w:fill="auto"/>
          </w:tcPr>
          <w:p w:rsidR="00F85C99" w:rsidRPr="002F6A28" w:rsidRDefault="00D81502" w:rsidP="00D81502">
            <w:pPr>
              <w:spacing w:before="80" w:after="8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D654AA" w:rsidRPr="002F6A28" w:rsidRDefault="00D81502"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w:t>
            </w:r>
            <w:r w:rsidRPr="002F6A28">
              <w:t>：</w:t>
            </w:r>
            <w:r w:rsidRPr="002F6A28">
              <w:t>+86 10 57954630/57954627</w:t>
            </w:r>
            <w:r w:rsidRPr="002F6A28">
              <w:br/>
              <w:t xml:space="preserve">Email: </w:t>
            </w:r>
            <w:hyperlink r:id="rId7" w:history="1">
              <w:r w:rsidRPr="002F6A28">
                <w:rPr>
                  <w:color w:val="0000FF"/>
                  <w:u w:val="single"/>
                </w:rPr>
                <w:t>tbt@customs.gov.cn</w:t>
              </w:r>
            </w:hyperlink>
          </w:p>
          <w:p w:rsidR="00D654AA" w:rsidRPr="002F6A28" w:rsidRDefault="00E362A3" w:rsidP="00B16145">
            <w:pPr>
              <w:keepNext/>
              <w:keepLines/>
              <w:spacing w:before="120" w:after="120"/>
            </w:pPr>
            <w:hyperlink r:id="rId8" w:history="1">
              <w:r w:rsidR="00D81502" w:rsidRPr="002F6A28">
                <w:rPr>
                  <w:color w:val="0000FF"/>
                  <w:u w:val="single"/>
                </w:rPr>
                <w:t>https://members.wto.org/crnattachments/2019/TBT/CHN/19_5669_00_x.pdf</w:t>
              </w:r>
            </w:hyperlink>
            <w:bookmarkEnd w:id="40"/>
          </w:p>
        </w:tc>
      </w:tr>
    </w:tbl>
    <w:p w:rsidR="00EE3A11" w:rsidRPr="002F6A28" w:rsidRDefault="00EE3A11" w:rsidP="002F6A28"/>
    <w:sectPr w:rsidR="00EE3A11" w:rsidRPr="002F6A28" w:rsidSect="00D8150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28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4EE" w:rsidRDefault="00D81502">
      <w:r>
        <w:separator/>
      </w:r>
    </w:p>
  </w:endnote>
  <w:endnote w:type="continuationSeparator" w:id="0">
    <w:p w:rsidR="005474EE" w:rsidRDefault="00D8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81502"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81502"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8150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4EE" w:rsidRDefault="00D81502">
      <w:r>
        <w:separator/>
      </w:r>
    </w:p>
  </w:footnote>
  <w:footnote w:type="continuationSeparator" w:id="0">
    <w:p w:rsidR="005474EE" w:rsidRDefault="00D8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81502"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D8150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81502" w:rsidP="009239F7">
    <w:pPr>
      <w:pStyle w:val="En-tte"/>
      <w:pBdr>
        <w:bottom w:val="single" w:sz="4" w:space="1" w:color="auto"/>
      </w:pBdr>
      <w:tabs>
        <w:tab w:val="clear" w:pos="4513"/>
        <w:tab w:val="clear" w:pos="9027"/>
      </w:tabs>
      <w:jc w:val="center"/>
    </w:pPr>
    <w:bookmarkStart w:id="41" w:name="spsSymbolHeader"/>
    <w:r w:rsidRPr="002F6A28">
      <w:t>G/TBT/N/CHN/1399</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D8150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645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EC645A" w:rsidTr="008612A9">
      <w:trPr>
        <w:trHeight w:val="213"/>
        <w:jc w:val="center"/>
      </w:trPr>
      <w:tc>
        <w:tcPr>
          <w:tcW w:w="3794" w:type="dxa"/>
          <w:vMerge w:val="restart"/>
          <w:shd w:val="clear" w:color="auto" w:fill="FFFFFF"/>
          <w:tcMar>
            <w:left w:w="0" w:type="dxa"/>
            <w:right w:w="0" w:type="dxa"/>
          </w:tcMar>
        </w:tcPr>
        <w:p w:rsidR="00ED54E0" w:rsidRPr="009239F7" w:rsidRDefault="00D81502" w:rsidP="00B801E9">
          <w:pPr>
            <w:jc w:val="left"/>
          </w:pPr>
          <w:r>
            <w:rPr>
              <w:noProof/>
              <w:lang w:eastAsia="en-GB"/>
            </w:rPr>
            <w:drawing>
              <wp:inline distT="0" distB="0" distL="0" distR="0">
                <wp:extent cx="2390775" cy="7143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6341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C645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D81502" w:rsidP="00B801E9">
          <w:pPr>
            <w:jc w:val="right"/>
            <w:rPr>
              <w:b/>
              <w:szCs w:val="16"/>
            </w:rPr>
          </w:pPr>
          <w:bookmarkStart w:id="43" w:name="bmkSymbols"/>
          <w:r w:rsidRPr="002F6A28">
            <w:rPr>
              <w:b/>
              <w:szCs w:val="16"/>
            </w:rPr>
            <w:t>G/TBT/N/CHN/1399</w:t>
          </w:r>
          <w:bookmarkEnd w:id="43"/>
        </w:p>
      </w:tc>
    </w:tr>
    <w:tr w:rsidR="00EC645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81502" w:rsidP="00B801E9">
          <w:pPr>
            <w:jc w:val="right"/>
            <w:rPr>
              <w:szCs w:val="16"/>
            </w:rPr>
          </w:pPr>
          <w:bookmarkStart w:id="44" w:name="spsDateDistribution"/>
          <w:bookmarkStart w:id="45" w:name="bmkDate"/>
          <w:bookmarkEnd w:id="44"/>
          <w:bookmarkEnd w:id="45"/>
          <w:r>
            <w:rPr>
              <w:szCs w:val="16"/>
            </w:rPr>
            <w:t>22 October 2019</w:t>
          </w:r>
        </w:p>
      </w:tc>
    </w:tr>
    <w:tr w:rsidR="00EC645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81502"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E362A3">
            <w:rPr>
              <w:color w:val="FF0000"/>
              <w:szCs w:val="16"/>
            </w:rPr>
            <w:t>6924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D8150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C645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8150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D8150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0005B"/>
    <w:multiLevelType w:val="hybridMultilevel"/>
    <w:tmpl w:val="AFCA83A2"/>
    <w:lvl w:ilvl="0" w:tplc="5A90CD44">
      <w:start w:val="1"/>
      <w:numFmt w:val="bullet"/>
      <w:lvlText w:val=""/>
      <w:lvlJc w:val="left"/>
      <w:pPr>
        <w:ind w:left="720" w:hanging="360"/>
      </w:pPr>
      <w:rPr>
        <w:rFonts w:ascii="Symbol" w:hAnsi="Symbol" w:hint="default"/>
      </w:rPr>
    </w:lvl>
    <w:lvl w:ilvl="1" w:tplc="5002D6F6" w:tentative="1">
      <w:start w:val="1"/>
      <w:numFmt w:val="bullet"/>
      <w:lvlText w:val="o"/>
      <w:lvlJc w:val="left"/>
      <w:pPr>
        <w:ind w:left="1440" w:hanging="360"/>
      </w:pPr>
      <w:rPr>
        <w:rFonts w:ascii="Courier New" w:hAnsi="Courier New" w:cs="Courier New" w:hint="default"/>
      </w:rPr>
    </w:lvl>
    <w:lvl w:ilvl="2" w:tplc="4B18286A" w:tentative="1">
      <w:start w:val="1"/>
      <w:numFmt w:val="bullet"/>
      <w:lvlText w:val=""/>
      <w:lvlJc w:val="left"/>
      <w:pPr>
        <w:ind w:left="2160" w:hanging="360"/>
      </w:pPr>
      <w:rPr>
        <w:rFonts w:ascii="Wingdings" w:hAnsi="Wingdings" w:hint="default"/>
      </w:rPr>
    </w:lvl>
    <w:lvl w:ilvl="3" w:tplc="D7D242D0" w:tentative="1">
      <w:start w:val="1"/>
      <w:numFmt w:val="bullet"/>
      <w:lvlText w:val=""/>
      <w:lvlJc w:val="left"/>
      <w:pPr>
        <w:ind w:left="2880" w:hanging="360"/>
      </w:pPr>
      <w:rPr>
        <w:rFonts w:ascii="Symbol" w:hAnsi="Symbol" w:hint="default"/>
      </w:rPr>
    </w:lvl>
    <w:lvl w:ilvl="4" w:tplc="7A28C0C6" w:tentative="1">
      <w:start w:val="1"/>
      <w:numFmt w:val="bullet"/>
      <w:lvlText w:val="o"/>
      <w:lvlJc w:val="left"/>
      <w:pPr>
        <w:ind w:left="3600" w:hanging="360"/>
      </w:pPr>
      <w:rPr>
        <w:rFonts w:ascii="Courier New" w:hAnsi="Courier New" w:cs="Courier New" w:hint="default"/>
      </w:rPr>
    </w:lvl>
    <w:lvl w:ilvl="5" w:tplc="14BCD09E" w:tentative="1">
      <w:start w:val="1"/>
      <w:numFmt w:val="bullet"/>
      <w:lvlText w:val=""/>
      <w:lvlJc w:val="left"/>
      <w:pPr>
        <w:ind w:left="4320" w:hanging="360"/>
      </w:pPr>
      <w:rPr>
        <w:rFonts w:ascii="Wingdings" w:hAnsi="Wingdings" w:hint="default"/>
      </w:rPr>
    </w:lvl>
    <w:lvl w:ilvl="6" w:tplc="C7DE3D84" w:tentative="1">
      <w:start w:val="1"/>
      <w:numFmt w:val="bullet"/>
      <w:lvlText w:val=""/>
      <w:lvlJc w:val="left"/>
      <w:pPr>
        <w:ind w:left="5040" w:hanging="360"/>
      </w:pPr>
      <w:rPr>
        <w:rFonts w:ascii="Symbol" w:hAnsi="Symbol" w:hint="default"/>
      </w:rPr>
    </w:lvl>
    <w:lvl w:ilvl="7" w:tplc="7EE80D5C" w:tentative="1">
      <w:start w:val="1"/>
      <w:numFmt w:val="bullet"/>
      <w:lvlText w:val="o"/>
      <w:lvlJc w:val="left"/>
      <w:pPr>
        <w:ind w:left="5760" w:hanging="360"/>
      </w:pPr>
      <w:rPr>
        <w:rFonts w:ascii="Courier New" w:hAnsi="Courier New" w:cs="Courier New" w:hint="default"/>
      </w:rPr>
    </w:lvl>
    <w:lvl w:ilvl="8" w:tplc="BD6C530E"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22B83D6E">
      <w:start w:val="1"/>
      <w:numFmt w:val="decimal"/>
      <w:pStyle w:val="SummaryText"/>
      <w:lvlText w:val="%1."/>
      <w:lvlJc w:val="left"/>
      <w:pPr>
        <w:ind w:left="360" w:hanging="360"/>
      </w:pPr>
    </w:lvl>
    <w:lvl w:ilvl="1" w:tplc="0F2096AC" w:tentative="1">
      <w:start w:val="1"/>
      <w:numFmt w:val="lowerLetter"/>
      <w:lvlText w:val="%2."/>
      <w:lvlJc w:val="left"/>
      <w:pPr>
        <w:ind w:left="1080" w:hanging="360"/>
      </w:pPr>
    </w:lvl>
    <w:lvl w:ilvl="2" w:tplc="CC64AA52" w:tentative="1">
      <w:start w:val="1"/>
      <w:numFmt w:val="lowerRoman"/>
      <w:lvlText w:val="%3."/>
      <w:lvlJc w:val="right"/>
      <w:pPr>
        <w:ind w:left="1800" w:hanging="180"/>
      </w:pPr>
    </w:lvl>
    <w:lvl w:ilvl="3" w:tplc="C05E6B0C" w:tentative="1">
      <w:start w:val="1"/>
      <w:numFmt w:val="decimal"/>
      <w:lvlText w:val="%4."/>
      <w:lvlJc w:val="left"/>
      <w:pPr>
        <w:ind w:left="2520" w:hanging="360"/>
      </w:pPr>
    </w:lvl>
    <w:lvl w:ilvl="4" w:tplc="353E04D4" w:tentative="1">
      <w:start w:val="1"/>
      <w:numFmt w:val="lowerLetter"/>
      <w:lvlText w:val="%5."/>
      <w:lvlJc w:val="left"/>
      <w:pPr>
        <w:ind w:left="3240" w:hanging="360"/>
      </w:pPr>
    </w:lvl>
    <w:lvl w:ilvl="5" w:tplc="71368ECE" w:tentative="1">
      <w:start w:val="1"/>
      <w:numFmt w:val="lowerRoman"/>
      <w:lvlText w:val="%6."/>
      <w:lvlJc w:val="right"/>
      <w:pPr>
        <w:ind w:left="3960" w:hanging="180"/>
      </w:pPr>
    </w:lvl>
    <w:lvl w:ilvl="6" w:tplc="013231FC" w:tentative="1">
      <w:start w:val="1"/>
      <w:numFmt w:val="decimal"/>
      <w:lvlText w:val="%7."/>
      <w:lvlJc w:val="left"/>
      <w:pPr>
        <w:ind w:left="4680" w:hanging="360"/>
      </w:pPr>
    </w:lvl>
    <w:lvl w:ilvl="7" w:tplc="0310DBFC" w:tentative="1">
      <w:start w:val="1"/>
      <w:numFmt w:val="lowerLetter"/>
      <w:lvlText w:val="%8."/>
      <w:lvlJc w:val="left"/>
      <w:pPr>
        <w:ind w:left="5400" w:hanging="360"/>
      </w:pPr>
    </w:lvl>
    <w:lvl w:ilvl="8" w:tplc="D45EA9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4EE"/>
    <w:rsid w:val="00547B5F"/>
    <w:rsid w:val="00564605"/>
    <w:rsid w:val="00580F04"/>
    <w:rsid w:val="00581CC5"/>
    <w:rsid w:val="0058336F"/>
    <w:rsid w:val="00590EAF"/>
    <w:rsid w:val="00592AFD"/>
    <w:rsid w:val="00592B84"/>
    <w:rsid w:val="005B04B9"/>
    <w:rsid w:val="005B68C7"/>
    <w:rsid w:val="005B7054"/>
    <w:rsid w:val="005C5BA4"/>
    <w:rsid w:val="005D5981"/>
    <w:rsid w:val="005E3965"/>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654AA"/>
    <w:rsid w:val="00D70F5B"/>
    <w:rsid w:val="00D747AE"/>
    <w:rsid w:val="00D81502"/>
    <w:rsid w:val="00D9226C"/>
    <w:rsid w:val="00DA20BD"/>
    <w:rsid w:val="00DE50DB"/>
    <w:rsid w:val="00DF6AE1"/>
    <w:rsid w:val="00E147CB"/>
    <w:rsid w:val="00E20B42"/>
    <w:rsid w:val="00E25473"/>
    <w:rsid w:val="00E30FFD"/>
    <w:rsid w:val="00E362A3"/>
    <w:rsid w:val="00E46FD5"/>
    <w:rsid w:val="00E544BB"/>
    <w:rsid w:val="00E56545"/>
    <w:rsid w:val="00E63AC7"/>
    <w:rsid w:val="00E67CF3"/>
    <w:rsid w:val="00E82AEC"/>
    <w:rsid w:val="00E969D2"/>
    <w:rsid w:val="00EA5D4F"/>
    <w:rsid w:val="00EB6C56"/>
    <w:rsid w:val="00EC645A"/>
    <w:rsid w:val="00ED54E0"/>
    <w:rsid w:val="00ED66D3"/>
    <w:rsid w:val="00EE3A11"/>
    <w:rsid w:val="00EE4445"/>
    <w:rsid w:val="00EF42DC"/>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D7F5"/>
  <w15:docId w15:val="{C0540B8E-0153-4474-9CB2-E167AA5C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669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2019-10-22T10:21:00Z</dcterms:created>
  <dcterms:modified xsi:type="dcterms:W3CDTF">2019-10-22T12:29:00Z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