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735A9C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735A9C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50AA6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35A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35A9C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Canada</w:t>
            </w:r>
            <w:bookmarkEnd w:id="2"/>
            <w:r w:rsidRPr="002F6A28">
              <w:t xml:space="preserve"> </w:t>
            </w:r>
          </w:p>
          <w:p w:rsidR="00F85C99" w:rsidRPr="002F6A28" w:rsidRDefault="00735A9C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D50AA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35A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35A9C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Ministry of Innovation, Sciences and Economic Development</w:t>
            </w:r>
            <w:bookmarkEnd w:id="6"/>
          </w:p>
          <w:p w:rsidR="00F85C99" w:rsidRPr="002F6A28" w:rsidRDefault="00735A9C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D50AA6" w:rsidRPr="002F6A28" w:rsidRDefault="00735A9C" w:rsidP="00AA646C">
            <w:pPr>
              <w:spacing w:after="120"/>
              <w:jc w:val="left"/>
            </w:pPr>
            <w:r w:rsidRPr="002F6A28">
              <w:t>Canada's Notification Authority and Enquiry Point</w:t>
            </w:r>
            <w:r w:rsidRPr="002F6A28">
              <w:br/>
              <w:t>Global Affairs Canada</w:t>
            </w:r>
            <w:r w:rsidRPr="002F6A28">
              <w:br/>
              <w:t>Technical Barriers and Regulations Division</w:t>
            </w:r>
            <w:r w:rsidRPr="002F6A28">
              <w:br/>
              <w:t>111 Sussex Drive</w:t>
            </w:r>
            <w:r w:rsidRPr="002F6A28">
              <w:br/>
              <w:t>Ottawa, ON K1A 0G2</w:t>
            </w:r>
            <w:r w:rsidRPr="002F6A28">
              <w:br/>
              <w:t>Canada</w:t>
            </w:r>
            <w:r w:rsidRPr="002F6A28">
              <w:br/>
              <w:t>Telephone: (343) 203-4273</w:t>
            </w:r>
            <w:r w:rsidRPr="002F6A28">
              <w:br/>
              <w:t>Fax: (613) 943-0346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enquirypoint@international.gc.ca</w:t>
              </w:r>
            </w:hyperlink>
            <w:bookmarkEnd w:id="8"/>
          </w:p>
        </w:tc>
      </w:tr>
      <w:tr w:rsidR="00D50AA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35A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35A9C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036EFF">
              <w:rPr>
                <w:b/>
              </w:rPr>
              <w:t xml:space="preserve"> </w:t>
            </w:r>
            <w:r w:rsidR="00036EFF" w:rsidRPr="002F6A28">
              <w:rPr>
                <w:b/>
              </w:rPr>
              <w:t>[</w:t>
            </w:r>
            <w:bookmarkStart w:id="18" w:name="tbt3f"/>
            <w:r w:rsidR="00036EFF" w:rsidRPr="002F6A28">
              <w:rPr>
                <w:b/>
              </w:rPr>
              <w:t>  </w:t>
            </w:r>
            <w:bookmarkEnd w:id="18"/>
            <w:r w:rsidR="00036EFF" w:rsidRPr="002F6A28">
              <w:rPr>
                <w:b/>
              </w:rPr>
              <w:t>]</w:t>
            </w:r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D50AA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35A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35A9C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Radiocommunications (ICS 33.060)</w:t>
            </w:r>
            <w:bookmarkStart w:id="21" w:name="sps3a"/>
            <w:bookmarkEnd w:id="21"/>
          </w:p>
        </w:tc>
      </w:tr>
      <w:tr w:rsidR="00D50AA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35A9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35A9C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Consultation of RSS-222, Issue 2, (25 and 26 pages, available in English and French) Consultation of DBS-01, Issue 2, (38 and 37</w:t>
            </w:r>
            <w:r>
              <w:t xml:space="preserve"> </w:t>
            </w:r>
            <w:r w:rsidR="00EE3A11" w:rsidRPr="00C379C8">
              <w:t>pages, available in English and French)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D50AA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35A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35A9C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="00FE448B" w:rsidRPr="00C379C8">
              <w:rPr>
                <w:lang w:eastAsia="en-GB"/>
              </w:rPr>
              <w:t>Notice is hereby given by the Ministry of Innovation, Science and Economic Development Canada that the following consultations have been published on its</w:t>
            </w:r>
            <w:hyperlink r:id="rId8" w:history="1">
              <w:r w:rsidR="00FE448B" w:rsidRPr="00C379C8">
                <w:rPr>
                  <w:color w:val="0000FF"/>
                  <w:u w:val="single"/>
                </w:rPr>
                <w:t> Web site</w:t>
              </w:r>
            </w:hyperlink>
            <w:r w:rsidR="00FE448B" w:rsidRPr="00C379C8">
              <w:t>:</w:t>
            </w:r>
          </w:p>
          <w:p w:rsidR="00FE448B" w:rsidRPr="00C379C8" w:rsidRDefault="00735A9C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rPr>
                <w:lang w:eastAsia="en-GB"/>
              </w:rPr>
              <w:t>RSS-222, Issue 2, White Space Devices (WSDs), sets out the certification requirements for licence-exempt radio apparatus operating in the frequency bands 54-72 MHz, 76-88 MHz, 174-216 MHz, 470-608 MHz and 657-663 MHz, known as white space devices (WSDs).</w:t>
            </w:r>
          </w:p>
          <w:p w:rsidR="00FE448B" w:rsidRPr="00C379C8" w:rsidRDefault="00735A9C" w:rsidP="002F6A28">
            <w:pPr>
              <w:numPr>
                <w:ilvl w:val="0"/>
                <w:numId w:val="17"/>
              </w:numPr>
              <w:spacing w:after="120"/>
              <w:jc w:val="left"/>
            </w:pPr>
            <w:r w:rsidRPr="00C379C8">
              <w:rPr>
                <w:lang w:eastAsia="en-GB"/>
              </w:rPr>
              <w:t>DBS-01, Issue 2, White Space Database Specifications which sets out the technical requirements for the designation of a database capable of identifying available channels for use by white space devices in the white space frequency bands (i.e. 54-72 MHz, 76-88 MHz, 174-216MHz, 470-608 MHz and 657-663 MHz)</w:t>
            </w:r>
          </w:p>
        </w:tc>
      </w:tr>
      <w:tr w:rsidR="00D50AA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35A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35A9C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r w:rsidR="00EE3A11" w:rsidRPr="00C379C8">
              <w:rPr>
                <w:lang w:eastAsia="en-GB"/>
              </w:rPr>
              <w:t>Consultation</w:t>
            </w:r>
            <w:bookmarkStart w:id="28" w:name="sps7f"/>
            <w:bookmarkEnd w:id="28"/>
          </w:p>
        </w:tc>
      </w:tr>
      <w:tr w:rsidR="00D50AA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35A9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735A9C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735A9C" w:rsidP="009E75ED">
            <w:pPr>
              <w:spacing w:before="120" w:after="120"/>
            </w:pPr>
            <w:r w:rsidRPr="002F6A28">
              <w:rPr>
                <w:bCs/>
                <w:lang w:eastAsia="en-GB"/>
              </w:rPr>
              <w:t>Not applicable</w:t>
            </w:r>
            <w:bookmarkStart w:id="30" w:name="sps9a"/>
            <w:bookmarkStart w:id="31" w:name="sps9b"/>
            <w:bookmarkEnd w:id="30"/>
            <w:bookmarkEnd w:id="31"/>
          </w:p>
        </w:tc>
      </w:tr>
      <w:tr w:rsidR="00D50AA6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35A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35A9C" w:rsidP="008953C4">
            <w:pPr>
              <w:spacing w:before="120" w:after="120"/>
            </w:pPr>
            <w:bookmarkStart w:id="32" w:name="X_TBT_Reg_9A"/>
            <w:r w:rsidRPr="002F6A28">
              <w:rPr>
                <w:b/>
              </w:rPr>
              <w:t>Proposed date of adoption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0a"/>
            <w:bookmarkStart w:id="34" w:name="sps10b"/>
            <w:bookmarkEnd w:id="33"/>
            <w:r w:rsidRPr="002F6A28">
              <w:t>Not applicable</w:t>
            </w:r>
            <w:bookmarkEnd w:id="34"/>
          </w:p>
          <w:p w:rsidR="00EE3A11" w:rsidRPr="002F6A28" w:rsidRDefault="00735A9C" w:rsidP="008953C4">
            <w:pPr>
              <w:spacing w:after="120"/>
            </w:pPr>
            <w:bookmarkStart w:id="35" w:name="X_TBT_Reg_9B"/>
            <w:r w:rsidRPr="002F6A28">
              <w:rPr>
                <w:b/>
              </w:rPr>
              <w:t>Proposed date of entry into force</w:t>
            </w:r>
            <w:bookmarkEnd w:id="35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6" w:name="sps11a"/>
            <w:bookmarkStart w:id="37" w:name="sps11b"/>
            <w:bookmarkEnd w:id="36"/>
            <w:r w:rsidRPr="002F6A28">
              <w:t>Not applicable</w:t>
            </w:r>
            <w:bookmarkEnd w:id="37"/>
          </w:p>
        </w:tc>
      </w:tr>
      <w:tr w:rsidR="00D50AA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35A9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35A9C" w:rsidP="002F6A28">
            <w:pPr>
              <w:spacing w:before="120" w:after="120"/>
            </w:pPr>
            <w:bookmarkStart w:id="38" w:name="X_TBT_Reg_10A"/>
            <w:r w:rsidRPr="002F6A28">
              <w:rPr>
                <w:b/>
              </w:rPr>
              <w:t>Final date for comments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t xml:space="preserve"> 23 August 2019</w:t>
            </w:r>
            <w:bookmarkStart w:id="39" w:name="sps12a"/>
            <w:bookmarkEnd w:id="39"/>
          </w:p>
        </w:tc>
      </w:tr>
      <w:tr w:rsidR="00D50AA6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35A9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35A9C" w:rsidP="00B16145">
            <w:pPr>
              <w:keepNext/>
              <w:keepLines/>
              <w:spacing w:before="120" w:after="120"/>
            </w:pPr>
            <w:bookmarkStart w:id="40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40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1" w:name="sps13b"/>
            <w:r w:rsidRPr="002F6A28">
              <w:rPr>
                <w:b/>
              </w:rPr>
              <w:t>X</w:t>
            </w:r>
            <w:bookmarkEnd w:id="41"/>
            <w:r w:rsidRPr="002F6A28">
              <w:rPr>
                <w:b/>
              </w:rPr>
              <w:t xml:space="preserve">] </w:t>
            </w:r>
            <w:bookmarkStart w:id="42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2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3" w:name="sps13c"/>
          </w:p>
          <w:p w:rsidR="00D50AA6" w:rsidRPr="002F6A28" w:rsidRDefault="00735A9C" w:rsidP="00B16145">
            <w:pPr>
              <w:keepNext/>
              <w:keepLines/>
              <w:spacing w:before="120" w:after="120"/>
            </w:pPr>
            <w:r w:rsidRPr="002F6A28">
              <w:t xml:space="preserve">The electronic version of the regulatory text and comments can be submitted at the following Web site: </w:t>
            </w:r>
          </w:p>
          <w:p w:rsidR="00D50AA6" w:rsidRPr="002F6A28" w:rsidRDefault="008A23A4" w:rsidP="00B16145">
            <w:pPr>
              <w:keepNext/>
              <w:keepLines/>
              <w:spacing w:before="120" w:after="120"/>
              <w:jc w:val="left"/>
            </w:pPr>
            <w:hyperlink r:id="rId9" w:history="1">
              <w:r w:rsidR="00735A9C" w:rsidRPr="002F6A28">
                <w:rPr>
                  <w:color w:val="0000FF"/>
                  <w:u w:val="single"/>
                </w:rPr>
                <w:t>https://www.rabc-cccr.ca/open-consultations/rss-222-2-and-dbs-01-2/</w:t>
              </w:r>
            </w:hyperlink>
            <w:r w:rsidR="00735A9C" w:rsidRPr="002F6A28">
              <w:t xml:space="preserve"> </w:t>
            </w:r>
            <w:r w:rsidR="00735A9C" w:rsidRPr="002F6A28">
              <w:br/>
            </w:r>
            <w:hyperlink r:id="rId10" w:history="1">
              <w:r w:rsidR="00735A9C" w:rsidRPr="002F6A28">
                <w:rPr>
                  <w:color w:val="0000FF"/>
                  <w:u w:val="single"/>
                </w:rPr>
                <w:t>https://www.rabc-cccr.ca/fr/consultations-en-cours/cnr-222-et-cbd-01/</w:t>
              </w:r>
            </w:hyperlink>
            <w:bookmarkEnd w:id="43"/>
          </w:p>
        </w:tc>
      </w:tr>
    </w:tbl>
    <w:p w:rsidR="00EE3A11" w:rsidRPr="002F6A28" w:rsidRDefault="00EE3A11" w:rsidP="002F6A28"/>
    <w:sectPr w:rsidR="00EE3A11" w:rsidRPr="002F6A28" w:rsidSect="00735A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9C0" w:rsidRDefault="00735A9C">
      <w:r>
        <w:separator/>
      </w:r>
    </w:p>
  </w:endnote>
  <w:endnote w:type="continuationSeparator" w:id="0">
    <w:p w:rsidR="002109C0" w:rsidRDefault="0073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735A9C" w:rsidRDefault="00735A9C" w:rsidP="00735A9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735A9C" w:rsidRDefault="00735A9C" w:rsidP="00735A9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735A9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9C0" w:rsidRDefault="00735A9C">
      <w:r>
        <w:separator/>
      </w:r>
    </w:p>
  </w:footnote>
  <w:footnote w:type="continuationSeparator" w:id="0">
    <w:p w:rsidR="002109C0" w:rsidRDefault="00735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A9C" w:rsidRPr="00735A9C" w:rsidRDefault="00735A9C" w:rsidP="00735A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5A9C">
      <w:t>G/TBT/N/CAN/590</w:t>
    </w:r>
  </w:p>
  <w:p w:rsidR="00735A9C" w:rsidRPr="00735A9C" w:rsidRDefault="00735A9C" w:rsidP="00735A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35A9C" w:rsidRPr="00735A9C" w:rsidRDefault="00735A9C" w:rsidP="00735A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5A9C">
      <w:t xml:space="preserve">- </w:t>
    </w:r>
    <w:r w:rsidRPr="00735A9C">
      <w:fldChar w:fldCharType="begin"/>
    </w:r>
    <w:r w:rsidRPr="00735A9C">
      <w:instrText xml:space="preserve"> PAGE </w:instrText>
    </w:r>
    <w:r w:rsidRPr="00735A9C">
      <w:fldChar w:fldCharType="separate"/>
    </w:r>
    <w:r w:rsidRPr="00735A9C">
      <w:rPr>
        <w:noProof/>
      </w:rPr>
      <w:t>2</w:t>
    </w:r>
    <w:r w:rsidRPr="00735A9C">
      <w:fldChar w:fldCharType="end"/>
    </w:r>
    <w:r w:rsidRPr="00735A9C">
      <w:t xml:space="preserve"> -</w:t>
    </w:r>
  </w:p>
  <w:p w:rsidR="009239F7" w:rsidRPr="00735A9C" w:rsidRDefault="009239F7" w:rsidP="00735A9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A9C" w:rsidRPr="00735A9C" w:rsidRDefault="00735A9C" w:rsidP="00735A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5A9C">
      <w:t>G/TBT/N/CAN/590</w:t>
    </w:r>
  </w:p>
  <w:p w:rsidR="00735A9C" w:rsidRPr="00735A9C" w:rsidRDefault="00735A9C" w:rsidP="00735A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35A9C" w:rsidRPr="00735A9C" w:rsidRDefault="00735A9C" w:rsidP="00735A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5A9C">
      <w:t xml:space="preserve">- </w:t>
    </w:r>
    <w:r w:rsidRPr="00735A9C">
      <w:fldChar w:fldCharType="begin"/>
    </w:r>
    <w:r w:rsidRPr="00735A9C">
      <w:instrText xml:space="preserve"> PAGE </w:instrText>
    </w:r>
    <w:r w:rsidRPr="00735A9C">
      <w:fldChar w:fldCharType="separate"/>
    </w:r>
    <w:r w:rsidRPr="00735A9C">
      <w:rPr>
        <w:noProof/>
      </w:rPr>
      <w:t>2</w:t>
    </w:r>
    <w:r w:rsidRPr="00735A9C">
      <w:fldChar w:fldCharType="end"/>
    </w:r>
    <w:r w:rsidRPr="00735A9C">
      <w:t xml:space="preserve"> -</w:t>
    </w:r>
  </w:p>
  <w:p w:rsidR="009239F7" w:rsidRPr="00735A9C" w:rsidRDefault="009239F7" w:rsidP="00735A9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50AA6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35A9C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D50AA6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44162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50AA6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35A9C" w:rsidRDefault="00735A9C" w:rsidP="00B801E9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G/TBT/N/CAN/590</w:t>
          </w:r>
        </w:p>
        <w:bookmarkEnd w:id="45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D50AA6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3D3F62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18 June 2019</w:t>
          </w:r>
        </w:p>
      </w:tc>
    </w:tr>
    <w:tr w:rsidR="00D50AA6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35A9C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3D3F62">
            <w:rPr>
              <w:color w:val="FF0000"/>
              <w:szCs w:val="16"/>
            </w:rPr>
            <w:t>19-</w:t>
          </w:r>
          <w:r w:rsidR="00373A82">
            <w:rPr>
              <w:color w:val="FF0000"/>
              <w:szCs w:val="16"/>
            </w:rPr>
            <w:t>4171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35A9C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D50AA6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735A9C" w:rsidP="00B801E9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735A9C" w:rsidP="00B801E9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English/French</w:t>
          </w:r>
          <w:bookmarkEnd w:id="52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B4C00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054AD44" w:tentative="1">
      <w:start w:val="1"/>
      <w:numFmt w:val="lowerLetter"/>
      <w:lvlText w:val="%2."/>
      <w:lvlJc w:val="left"/>
      <w:pPr>
        <w:ind w:left="1080" w:hanging="360"/>
      </w:pPr>
    </w:lvl>
    <w:lvl w:ilvl="2" w:tplc="81644F48" w:tentative="1">
      <w:start w:val="1"/>
      <w:numFmt w:val="lowerRoman"/>
      <w:lvlText w:val="%3."/>
      <w:lvlJc w:val="right"/>
      <w:pPr>
        <w:ind w:left="1800" w:hanging="180"/>
      </w:pPr>
    </w:lvl>
    <w:lvl w:ilvl="3" w:tplc="E1724CB8" w:tentative="1">
      <w:start w:val="1"/>
      <w:numFmt w:val="decimal"/>
      <w:lvlText w:val="%4."/>
      <w:lvlJc w:val="left"/>
      <w:pPr>
        <w:ind w:left="2520" w:hanging="360"/>
      </w:pPr>
    </w:lvl>
    <w:lvl w:ilvl="4" w:tplc="B1361436" w:tentative="1">
      <w:start w:val="1"/>
      <w:numFmt w:val="lowerLetter"/>
      <w:lvlText w:val="%5."/>
      <w:lvlJc w:val="left"/>
      <w:pPr>
        <w:ind w:left="3240" w:hanging="360"/>
      </w:pPr>
    </w:lvl>
    <w:lvl w:ilvl="5" w:tplc="A2181578" w:tentative="1">
      <w:start w:val="1"/>
      <w:numFmt w:val="lowerRoman"/>
      <w:lvlText w:val="%6."/>
      <w:lvlJc w:val="right"/>
      <w:pPr>
        <w:ind w:left="3960" w:hanging="180"/>
      </w:pPr>
    </w:lvl>
    <w:lvl w:ilvl="6" w:tplc="0AE440D2" w:tentative="1">
      <w:start w:val="1"/>
      <w:numFmt w:val="decimal"/>
      <w:lvlText w:val="%7."/>
      <w:lvlJc w:val="left"/>
      <w:pPr>
        <w:ind w:left="4680" w:hanging="360"/>
      </w:pPr>
    </w:lvl>
    <w:lvl w:ilvl="7" w:tplc="458ED6F4" w:tentative="1">
      <w:start w:val="1"/>
      <w:numFmt w:val="lowerLetter"/>
      <w:lvlText w:val="%8."/>
      <w:lvlJc w:val="left"/>
      <w:pPr>
        <w:ind w:left="5400" w:hanging="360"/>
      </w:pPr>
    </w:lvl>
    <w:lvl w:ilvl="8" w:tplc="0F6611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E4AA6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3162E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CA64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0AE5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D6EDD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45E01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9CB4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AAC2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4DA8A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C3EE3D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C04BD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6855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5055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8EA6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326D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72D0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46A5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79E7B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109C0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73A82"/>
    <w:rsid w:val="00381B96"/>
    <w:rsid w:val="00383F7A"/>
    <w:rsid w:val="00396AF4"/>
    <w:rsid w:val="003B2BBF"/>
    <w:rsid w:val="003B40C7"/>
    <w:rsid w:val="003D3F62"/>
    <w:rsid w:val="0041584A"/>
    <w:rsid w:val="00441629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5A9C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23A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0AA6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bc-cccr.ca/open-consultations/rss-222-2-and-dbs-01-2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point@international.gc.c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rabc-cccr.ca/fr/consultations-en-cours/cnr-222-et-cbd-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bc-cccr.ca/open-consultations/rss-222-2-and-dbs-01-2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2284</Characters>
  <Application>Microsoft Office Word</Application>
  <DocSecurity>0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2019-06-18T12:41:00Z</dcterms:created>
  <dcterms:modified xsi:type="dcterms:W3CDTF">2019-06-18T14:39:00Z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G/TBT/N/CAN/590</vt:lpwstr>
  </property>
</Properties>
</file>