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42411" w:rsidP="002F6A28">
      <w:pPr>
        <w:pStyle w:val="Title"/>
        <w:rPr>
          <w:caps w:val="0"/>
          <w:kern w:val="0"/>
        </w:rPr>
      </w:pPr>
      <w:bookmarkStart w:id="0" w:name="_GoBack"/>
      <w:bookmarkEnd w:id="0"/>
      <w:r w:rsidRPr="002F6A28">
        <w:rPr>
          <w:caps w:val="0"/>
          <w:kern w:val="0"/>
        </w:rPr>
        <w:t>NOTIFICATION</w:t>
      </w:r>
    </w:p>
    <w:p w:rsidR="009239F7" w:rsidRPr="002F6A28" w:rsidRDefault="00142411" w:rsidP="002F6A28">
      <w:pPr>
        <w:jc w:val="center"/>
      </w:pPr>
      <w:r w:rsidRPr="002F6A28">
        <w:t>The following notification is being circulated in accordance with Article 10.6</w:t>
      </w:r>
    </w:p>
    <w:p w:rsidR="009239F7" w:rsidRPr="002F6A28" w:rsidRDefault="009C521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5637E0" w:rsidTr="0069259F">
        <w:tc>
          <w:tcPr>
            <w:tcW w:w="713" w:type="dxa"/>
            <w:tcBorders>
              <w:bottom w:val="single" w:sz="6" w:space="0" w:color="auto"/>
            </w:tcBorders>
            <w:shd w:val="clear" w:color="auto" w:fill="auto"/>
          </w:tcPr>
          <w:p w:rsidR="00F85C99" w:rsidRPr="002F6A28" w:rsidRDefault="0014241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42411" w:rsidP="00B43F20">
            <w:pPr>
              <w:spacing w:before="120" w:after="120"/>
            </w:pPr>
            <w:r w:rsidRPr="002F6A28">
              <w:rPr>
                <w:b/>
              </w:rPr>
              <w:t xml:space="preserve">Notifying Member: </w:t>
            </w:r>
            <w:bookmarkStart w:id="1" w:name="sps1a"/>
            <w:r w:rsidRPr="00812D1D">
              <w:rPr>
                <w:caps/>
                <w:u w:val="single"/>
              </w:rPr>
              <w:t>Sweden</w:t>
            </w:r>
            <w:bookmarkEnd w:id="1"/>
            <w:r w:rsidRPr="002F6A28">
              <w:t xml:space="preserve"> </w:t>
            </w:r>
          </w:p>
          <w:p w:rsidR="00F85C99" w:rsidRPr="002F6A28" w:rsidRDefault="00142411" w:rsidP="00142411">
            <w:pPr>
              <w:spacing w:after="120"/>
            </w:pPr>
            <w:r w:rsidRPr="002F6A28">
              <w:rPr>
                <w:b/>
              </w:rPr>
              <w:t>If applicable, name of local government involved (Article 3.2 and 7.2):</w:t>
            </w:r>
            <w:r w:rsidRPr="002F6A28">
              <w:t xml:space="preserve"> </w:t>
            </w:r>
            <w:bookmarkStart w:id="2" w:name="sps1b"/>
            <w:bookmarkEnd w:id="2"/>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42411" w:rsidP="00B43F20">
            <w:pPr>
              <w:spacing w:before="120" w:after="120"/>
            </w:pPr>
            <w:r w:rsidRPr="002F6A28">
              <w:rPr>
                <w:b/>
              </w:rPr>
              <w:t xml:space="preserve">Agency responsible: </w:t>
            </w:r>
            <w:bookmarkStart w:id="3" w:name="sps2a"/>
            <w:bookmarkEnd w:id="3"/>
            <w:r>
              <w:t>Swedish Ministry of the Environment and Energy</w:t>
            </w:r>
          </w:p>
          <w:p w:rsidR="00020BB2" w:rsidRDefault="00142411" w:rsidP="00B43F2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142411" w:rsidP="00B43F20">
            <w:r>
              <w:t>National Board of Trade (Kommerskollegium)</w:t>
            </w:r>
          </w:p>
          <w:p w:rsidR="005637E0" w:rsidRDefault="00142411" w:rsidP="00B43F20">
            <w:r>
              <w:t>Box 6803</w:t>
            </w:r>
          </w:p>
          <w:p w:rsidR="005637E0" w:rsidRDefault="00142411" w:rsidP="00B43F20">
            <w:r>
              <w:t>113 86 Stockholm</w:t>
            </w:r>
          </w:p>
          <w:p w:rsidR="005637E0" w:rsidRDefault="00142411" w:rsidP="00B43F20">
            <w:r>
              <w:t>+46 8 690 48 00</w:t>
            </w:r>
          </w:p>
          <w:p w:rsidR="005637E0" w:rsidRDefault="009C5217" w:rsidP="00B43F20">
            <w:hyperlink r:id="rId8" w:history="1">
              <w:r w:rsidR="00142411">
                <w:rPr>
                  <w:color w:val="0000FF"/>
                  <w:u w:val="single"/>
                </w:rPr>
                <w:t>kommerskollegium@kommers.se</w:t>
              </w:r>
            </w:hyperlink>
          </w:p>
          <w:p w:rsidR="005637E0" w:rsidRDefault="009C5217" w:rsidP="00B43F20">
            <w:pPr>
              <w:spacing w:after="120"/>
            </w:pPr>
            <w:hyperlink r:id="rId9" w:tgtFrame="_blank" w:history="1">
              <w:r w:rsidR="00142411">
                <w:rPr>
                  <w:color w:val="0000FF"/>
                  <w:u w:val="single"/>
                </w:rPr>
                <w:t>http://www.kommers.se</w:t>
              </w:r>
            </w:hyperlink>
            <w:bookmarkStart w:id="4" w:name="sps4a"/>
            <w:bookmarkEnd w:id="4"/>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20BB2" w:rsidP="00B43F20">
            <w:pPr>
              <w:spacing w:before="120" w:after="120"/>
              <w:rPr>
                <w:b/>
              </w:rPr>
            </w:pPr>
            <w:bookmarkStart w:id="5" w:name="tbt3a"/>
            <w:r>
              <w:rPr>
                <w:b/>
              </w:rPr>
              <w:t>Notified under Article 2.9.2 [</w:t>
            </w:r>
            <w:r w:rsidR="00142411" w:rsidRPr="002F6A28">
              <w:rPr>
                <w:b/>
              </w:rPr>
              <w:t>X</w:t>
            </w:r>
            <w:bookmarkEnd w:id="5"/>
            <w:r w:rsidR="00142411" w:rsidRPr="002F6A28">
              <w:rPr>
                <w:b/>
              </w:rPr>
              <w:t>], 2.10.1 [ </w:t>
            </w:r>
            <w:bookmarkStart w:id="6" w:name="tbt3b"/>
            <w:bookmarkEnd w:id="6"/>
            <w:r w:rsidR="00142411" w:rsidRPr="002F6A28">
              <w:rPr>
                <w:b/>
              </w:rPr>
              <w:t> ], 5.6.2 [ </w:t>
            </w:r>
            <w:bookmarkStart w:id="7" w:name="tbt3c"/>
            <w:bookmarkEnd w:id="7"/>
            <w:r w:rsidR="00142411" w:rsidRPr="002F6A28">
              <w:rPr>
                <w:b/>
              </w:rPr>
              <w:t> ], 5.7.1 [ </w:t>
            </w:r>
            <w:bookmarkStart w:id="8" w:name="tbt3d"/>
            <w:bookmarkEnd w:id="8"/>
            <w:r w:rsidR="00142411" w:rsidRPr="002F6A28">
              <w:rPr>
                <w:b/>
              </w:rPr>
              <w:t> ], other:</w:t>
            </w:r>
            <w:bookmarkStart w:id="9" w:name="tbt3e"/>
            <w:bookmarkEnd w:id="9"/>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637E0" w:rsidRDefault="00142411" w:rsidP="00B43F20">
            <w:pPr>
              <w:spacing w:before="120" w:after="120"/>
            </w:pPr>
            <w:r w:rsidRPr="002F6A28">
              <w:rPr>
                <w:b/>
              </w:rPr>
              <w:t xml:space="preserve">Products covered (HS or CCCN where applicable, otherwise national tariff heading. ICS numbers may be provided in addition, where applicable): </w:t>
            </w:r>
            <w:r>
              <w:t xml:space="preserve">Biofuels and </w:t>
            </w:r>
            <w:proofErr w:type="spellStart"/>
            <w:r>
              <w:t>bioliquids</w:t>
            </w:r>
            <w:bookmarkStart w:id="10" w:name="sps3a"/>
            <w:bookmarkEnd w:id="10"/>
            <w:proofErr w:type="spellEnd"/>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42411" w:rsidP="00B43F20">
            <w:pPr>
              <w:spacing w:before="120" w:after="120"/>
            </w:pPr>
            <w:r w:rsidRPr="002F6A28">
              <w:rPr>
                <w:b/>
              </w:rPr>
              <w:t xml:space="preserve">Title, number of pages and language(s) of the notified document: </w:t>
            </w:r>
            <w:r>
              <w:t>Ordinance amending the Ordinance (2011:1088) on sustainability criteria for biofuels and bioliquids</w:t>
            </w:r>
            <w:bookmarkStart w:id="11" w:name="sps5a"/>
            <w:bookmarkEnd w:id="11"/>
            <w:r w:rsidRPr="002F6A28">
              <w:t xml:space="preserve"> </w:t>
            </w:r>
            <w:bookmarkStart w:id="12" w:name="sps5c"/>
            <w:bookmarkEnd w:id="12"/>
            <w:r w:rsidRPr="002F6A28">
              <w:t xml:space="preserve"> </w:t>
            </w:r>
            <w:bookmarkStart w:id="13" w:name="sps5b"/>
            <w:bookmarkEnd w:id="13"/>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5637E0" w:rsidRPr="004C4F73" w:rsidRDefault="00142411" w:rsidP="004C4F73">
            <w:pPr>
              <w:spacing w:before="120" w:after="120"/>
              <w:rPr>
                <w:b/>
              </w:rPr>
            </w:pPr>
            <w:r w:rsidRPr="002F6A28">
              <w:rPr>
                <w:b/>
              </w:rPr>
              <w:t xml:space="preserve">Description of content: </w:t>
            </w:r>
            <w:r>
              <w:t>The regulations specify when a substance is considered to be an end product or a</w:t>
            </w:r>
            <w:r w:rsidR="00260B55">
              <w:t xml:space="preserve"> </w:t>
            </w:r>
            <w:r>
              <w:t>primary aim of a production process. If a process is usually optimised to produce a substance, it shall be considered to be an end product or a primary aim of the process. However, even a substance for which a production process is</w:t>
            </w:r>
            <w:r w:rsidR="00260B55">
              <w:t xml:space="preserve"> </w:t>
            </w:r>
            <w:r>
              <w:t>not usually optimised to produce it shall be considered to be an end product or the main purpose of the process if the substance has a use other than for energy purposes and, over the last 2-year period or the shorter part of the time the substance has been on the market, it has had an average retail price per kilo which, over the same period, exceeds 40 % of the average retail price per kilo of the substance for which the process is usually optimised. The latter does not apply to substances resulting directly from agricultural, aquaculture, fishing</w:t>
            </w:r>
            <w:r w:rsidR="00260B55">
              <w:t xml:space="preserve"> </w:t>
            </w:r>
            <w:r>
              <w:t xml:space="preserve">or forestry activities. Since it is clear from certain EU legal acts, inter alia the ILUC Directive and Commission interpretive communication 2010/C 160/02, that the substances mentioned in points (e), (f) and (h)–(o) of Annex IX to the </w:t>
            </w:r>
            <w:proofErr w:type="spellStart"/>
            <w:r>
              <w:t>ILUC</w:t>
            </w:r>
            <w:proofErr w:type="spellEnd"/>
            <w:r>
              <w:t xml:space="preserve"> Directive</w:t>
            </w:r>
            <w:r w:rsidR="00260B55">
              <w:t xml:space="preserve"> </w:t>
            </w:r>
            <w:r>
              <w:t>shall not be considered to be end products directly produced by a production</w:t>
            </w:r>
            <w:r w:rsidR="00260B55">
              <w:t xml:space="preserve"> </w:t>
            </w:r>
            <w:r>
              <w:t>process or the main aim of the process, this is stated in a provision of the</w:t>
            </w:r>
            <w:r w:rsidR="00260B55">
              <w:t xml:space="preserve"> </w:t>
            </w:r>
            <w:r>
              <w:t xml:space="preserve">proposed ordinance. </w:t>
            </w:r>
          </w:p>
          <w:p w:rsidR="005637E0" w:rsidRDefault="00142411" w:rsidP="00B43F20">
            <w:pPr>
              <w:spacing w:after="120"/>
            </w:pPr>
            <w:r>
              <w:t>The wording of § 17 in the ordinance is amended in relation to the current wording in order to better reflect the situations in question.</w:t>
            </w:r>
            <w:bookmarkStart w:id="14" w:name="sps6a"/>
            <w:bookmarkEnd w:id="14"/>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60B55">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5637E0" w:rsidRPr="00020BB2" w:rsidRDefault="00142411" w:rsidP="00260B55">
            <w:pPr>
              <w:keepNext/>
              <w:keepLines/>
              <w:spacing w:before="120" w:after="120"/>
              <w:rPr>
                <w:b/>
              </w:rPr>
            </w:pPr>
            <w:r w:rsidRPr="002F6A28">
              <w:rPr>
                <w:b/>
              </w:rPr>
              <w:t>Objective and rationale, including the nature of urgent problems where applicable:</w:t>
            </w:r>
            <w:r w:rsidR="00020BB2">
              <w:rPr>
                <w:b/>
              </w:rPr>
              <w:t xml:space="preserve"> </w:t>
            </w:r>
            <w:r>
              <w:t>The aim of the provisions is to provide guidance for when a substance is considered to be a residue or a main aim of a production process. According to the definition of ‘residue’ in the ILUC Directive, it shall be assessed whether the production process has been deliberately modified to produce the substance and whether a substance is the residue(s) directly produced by a production process or the main aim of the process. In this assessment, a basis is necessary, and importance should be placed on the substance’s financial value and use. However, the substances treated as residues at EU level, inter</w:t>
            </w:r>
            <w:r w:rsidR="00260B55">
              <w:t xml:space="preserve"> </w:t>
            </w:r>
            <w:r>
              <w:t xml:space="preserve">alia by the </w:t>
            </w:r>
            <w:proofErr w:type="spellStart"/>
            <w:r>
              <w:t>ILUC</w:t>
            </w:r>
            <w:proofErr w:type="spellEnd"/>
            <w:r>
              <w:t xml:space="preserve"> Directive and Commission interpretive communication 2010/C 160/02, shall not be included in the assessment. The provisions are objective and directly linked to this aim. No less intrusive measures to achieve the aim are deemed to exist.</w:t>
            </w:r>
            <w:r w:rsidR="00260B55">
              <w:t xml:space="preserve"> </w:t>
            </w:r>
            <w:r>
              <w:t>The measures are proportionate and are a prerequisite for providing the market with guidance.</w:t>
            </w:r>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60B55">
            <w:pPr>
              <w:keepNext/>
              <w:keepLines/>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42411" w:rsidP="00260B55">
            <w:pPr>
              <w:keepNext/>
              <w:keepLines/>
              <w:spacing w:before="120" w:after="120"/>
            </w:pPr>
            <w:r w:rsidRPr="002F6A28">
              <w:rPr>
                <w:b/>
              </w:rPr>
              <w:t>Relevant documents:</w:t>
            </w:r>
            <w:r w:rsidRPr="002F6A28">
              <w:t xml:space="preserve"> </w:t>
            </w:r>
            <w:r>
              <w:t>Draft of the proposed technical regulation</w:t>
            </w:r>
            <w:bookmarkStart w:id="15" w:name="sps9a"/>
            <w:bookmarkEnd w:id="15"/>
            <w:r w:rsidRPr="002F6A28">
              <w:rPr>
                <w:bCs/>
              </w:rPr>
              <w:t xml:space="preserve"> </w:t>
            </w:r>
            <w:bookmarkStart w:id="16" w:name="sps9b"/>
            <w:bookmarkEnd w:id="16"/>
          </w:p>
        </w:tc>
      </w:tr>
      <w:tr w:rsidR="005637E0" w:rsidTr="0069259F">
        <w:tc>
          <w:tcPr>
            <w:tcW w:w="713" w:type="dxa"/>
            <w:tcBorders>
              <w:top w:val="single" w:sz="6" w:space="0" w:color="auto"/>
              <w:bottom w:val="single" w:sz="6" w:space="0" w:color="auto"/>
            </w:tcBorders>
            <w:shd w:val="clear" w:color="auto" w:fill="auto"/>
          </w:tcPr>
          <w:p w:rsidR="00EE3A11" w:rsidRPr="002F6A28" w:rsidRDefault="0014241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42411" w:rsidP="00B43F20">
            <w:pPr>
              <w:spacing w:before="120" w:after="120"/>
            </w:pPr>
            <w:r w:rsidRPr="002F6A28">
              <w:rPr>
                <w:b/>
              </w:rPr>
              <w:t xml:space="preserve">Proposed date of adoption: </w:t>
            </w:r>
            <w:bookmarkStart w:id="17" w:name="sps10a"/>
            <w:bookmarkStart w:id="18" w:name="sps10b"/>
            <w:bookmarkEnd w:id="17"/>
            <w:r w:rsidRPr="002F6A28">
              <w:t>Not specified</w:t>
            </w:r>
            <w:bookmarkEnd w:id="18"/>
          </w:p>
          <w:p w:rsidR="00EE3A11" w:rsidRPr="002F6A28" w:rsidRDefault="00142411" w:rsidP="00260B55">
            <w:pPr>
              <w:spacing w:after="120"/>
            </w:pPr>
            <w:r w:rsidRPr="002F6A28">
              <w:rPr>
                <w:b/>
              </w:rPr>
              <w:t>Proposed date of entry into force:</w:t>
            </w:r>
            <w:bookmarkStart w:id="19" w:name="sps11a"/>
            <w:bookmarkStart w:id="20" w:name="sps11b"/>
            <w:bookmarkEnd w:id="19"/>
            <w:r w:rsidRPr="002F6A28">
              <w:t xml:space="preserve"> Not specified</w:t>
            </w:r>
            <w:bookmarkEnd w:id="20"/>
          </w:p>
        </w:tc>
      </w:tr>
      <w:tr w:rsidR="005637E0" w:rsidTr="0069259F">
        <w:tc>
          <w:tcPr>
            <w:tcW w:w="713" w:type="dxa"/>
            <w:tcBorders>
              <w:top w:val="single" w:sz="6" w:space="0" w:color="auto"/>
              <w:bottom w:val="single" w:sz="6" w:space="0" w:color="auto"/>
            </w:tcBorders>
            <w:shd w:val="clear" w:color="auto" w:fill="auto"/>
          </w:tcPr>
          <w:p w:rsidR="00F85C99" w:rsidRPr="002F6A28" w:rsidRDefault="0014241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42411" w:rsidP="00B43F20">
            <w:pPr>
              <w:spacing w:before="120" w:after="120"/>
            </w:pPr>
            <w:r w:rsidRPr="002F6A28">
              <w:rPr>
                <w:b/>
              </w:rPr>
              <w:t xml:space="preserve">Final date for comments: </w:t>
            </w:r>
            <w:r>
              <w:t>90 days from notification</w:t>
            </w:r>
            <w:bookmarkStart w:id="21" w:name="sps12a"/>
            <w:bookmarkEnd w:id="21"/>
          </w:p>
        </w:tc>
      </w:tr>
      <w:tr w:rsidR="005637E0" w:rsidTr="0069259F">
        <w:tc>
          <w:tcPr>
            <w:tcW w:w="713" w:type="dxa"/>
            <w:tcBorders>
              <w:top w:val="single" w:sz="6" w:space="0" w:color="auto"/>
            </w:tcBorders>
            <w:shd w:val="clear" w:color="auto" w:fill="auto"/>
          </w:tcPr>
          <w:p w:rsidR="00F85C99" w:rsidRPr="002F6A28" w:rsidRDefault="0014241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42411" w:rsidP="00B43F20">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9C5217" w:rsidP="00B43F20">
            <w:pPr>
              <w:keepNext/>
              <w:keepLines/>
              <w:spacing w:after="120"/>
            </w:pPr>
            <w:hyperlink r:id="rId10" w:tgtFrame="_blank" w:history="1">
              <w:r w:rsidR="00142411">
                <w:rPr>
                  <w:color w:val="0000FF"/>
                  <w:u w:val="single"/>
                </w:rPr>
                <w:t>https://members.wto.org/crnattachments/2018/TBT/SWE/18_2142_00_e.pdf</w:t>
              </w:r>
            </w:hyperlink>
            <w:bookmarkStart w:id="23" w:name="sps13c"/>
            <w:bookmarkEnd w:id="23"/>
          </w:p>
        </w:tc>
      </w:tr>
    </w:tbl>
    <w:p w:rsidR="00EE3A11" w:rsidRPr="002F6A28" w:rsidRDefault="009C5217" w:rsidP="002F6A28"/>
    <w:sectPr w:rsidR="00EE3A11" w:rsidRPr="002F6A28" w:rsidSect="00020BB2">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ED" w:rsidRDefault="00142411">
      <w:r>
        <w:separator/>
      </w:r>
    </w:p>
  </w:endnote>
  <w:endnote w:type="continuationSeparator" w:id="0">
    <w:p w:rsidR="002857ED" w:rsidRDefault="0014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20BB2" w:rsidRDefault="00020BB2" w:rsidP="00020BB2">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20BB2" w:rsidRDefault="00020BB2" w:rsidP="00020BB2">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4241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ED" w:rsidRDefault="00142411">
      <w:r>
        <w:separator/>
      </w:r>
    </w:p>
  </w:footnote>
  <w:footnote w:type="continuationSeparator" w:id="0">
    <w:p w:rsidR="002857ED" w:rsidRDefault="0014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B2" w:rsidRPr="00020BB2" w:rsidRDefault="00020BB2" w:rsidP="00020BB2">
    <w:pPr>
      <w:pStyle w:val="Header"/>
      <w:pBdr>
        <w:bottom w:val="single" w:sz="4" w:space="1" w:color="auto"/>
      </w:pBdr>
      <w:tabs>
        <w:tab w:val="clear" w:pos="4513"/>
        <w:tab w:val="clear" w:pos="9027"/>
      </w:tabs>
      <w:jc w:val="center"/>
    </w:pPr>
    <w:r w:rsidRPr="00020BB2">
      <w:t>G/TBT/N/SWE/133</w:t>
    </w:r>
  </w:p>
  <w:p w:rsidR="00020BB2" w:rsidRPr="00020BB2" w:rsidRDefault="00020BB2" w:rsidP="00020BB2">
    <w:pPr>
      <w:pStyle w:val="Header"/>
      <w:pBdr>
        <w:bottom w:val="single" w:sz="4" w:space="1" w:color="auto"/>
      </w:pBdr>
      <w:tabs>
        <w:tab w:val="clear" w:pos="4513"/>
        <w:tab w:val="clear" w:pos="9027"/>
      </w:tabs>
      <w:jc w:val="center"/>
    </w:pPr>
  </w:p>
  <w:p w:rsidR="00020BB2" w:rsidRPr="00020BB2" w:rsidRDefault="00020BB2" w:rsidP="00020BB2">
    <w:pPr>
      <w:pStyle w:val="Header"/>
      <w:pBdr>
        <w:bottom w:val="single" w:sz="4" w:space="1" w:color="auto"/>
      </w:pBdr>
      <w:tabs>
        <w:tab w:val="clear" w:pos="4513"/>
        <w:tab w:val="clear" w:pos="9027"/>
      </w:tabs>
      <w:jc w:val="center"/>
    </w:pPr>
    <w:r w:rsidRPr="00020BB2">
      <w:t xml:space="preserve">- </w:t>
    </w:r>
    <w:r w:rsidRPr="00020BB2">
      <w:fldChar w:fldCharType="begin"/>
    </w:r>
    <w:r w:rsidRPr="00020BB2">
      <w:instrText xml:space="preserve"> PAGE </w:instrText>
    </w:r>
    <w:r w:rsidRPr="00020BB2">
      <w:fldChar w:fldCharType="separate"/>
    </w:r>
    <w:r w:rsidR="009C5217">
      <w:rPr>
        <w:noProof/>
      </w:rPr>
      <w:t>2</w:t>
    </w:r>
    <w:r w:rsidRPr="00020BB2">
      <w:fldChar w:fldCharType="end"/>
    </w:r>
    <w:r w:rsidRPr="00020BB2">
      <w:t xml:space="preserve"> -</w:t>
    </w:r>
  </w:p>
  <w:p w:rsidR="009239F7" w:rsidRPr="00020BB2" w:rsidRDefault="009C5217" w:rsidP="00020BB2">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B2" w:rsidRPr="00020BB2" w:rsidRDefault="00020BB2" w:rsidP="00020BB2">
    <w:pPr>
      <w:pStyle w:val="Header"/>
      <w:pBdr>
        <w:bottom w:val="single" w:sz="4" w:space="1" w:color="auto"/>
      </w:pBdr>
      <w:tabs>
        <w:tab w:val="clear" w:pos="4513"/>
        <w:tab w:val="clear" w:pos="9027"/>
      </w:tabs>
      <w:jc w:val="center"/>
    </w:pPr>
    <w:r w:rsidRPr="00020BB2">
      <w:t>G/TBT/N/SWE/133</w:t>
    </w:r>
  </w:p>
  <w:p w:rsidR="00020BB2" w:rsidRPr="00020BB2" w:rsidRDefault="00020BB2" w:rsidP="00020BB2">
    <w:pPr>
      <w:pStyle w:val="Header"/>
      <w:pBdr>
        <w:bottom w:val="single" w:sz="4" w:space="1" w:color="auto"/>
      </w:pBdr>
      <w:tabs>
        <w:tab w:val="clear" w:pos="4513"/>
        <w:tab w:val="clear" w:pos="9027"/>
      </w:tabs>
      <w:jc w:val="center"/>
    </w:pPr>
  </w:p>
  <w:p w:rsidR="00020BB2" w:rsidRPr="00020BB2" w:rsidRDefault="00020BB2" w:rsidP="00020BB2">
    <w:pPr>
      <w:pStyle w:val="Header"/>
      <w:pBdr>
        <w:bottom w:val="single" w:sz="4" w:space="1" w:color="auto"/>
      </w:pBdr>
      <w:tabs>
        <w:tab w:val="clear" w:pos="4513"/>
        <w:tab w:val="clear" w:pos="9027"/>
      </w:tabs>
      <w:jc w:val="center"/>
    </w:pPr>
    <w:r w:rsidRPr="00020BB2">
      <w:t xml:space="preserve">- </w:t>
    </w:r>
    <w:r w:rsidRPr="00020BB2">
      <w:fldChar w:fldCharType="begin"/>
    </w:r>
    <w:r w:rsidRPr="00020BB2">
      <w:instrText xml:space="preserve"> PAGE </w:instrText>
    </w:r>
    <w:r w:rsidRPr="00020BB2">
      <w:fldChar w:fldCharType="separate"/>
    </w:r>
    <w:r w:rsidRPr="00020BB2">
      <w:rPr>
        <w:noProof/>
      </w:rPr>
      <w:t>2</w:t>
    </w:r>
    <w:r w:rsidRPr="00020BB2">
      <w:fldChar w:fldCharType="end"/>
    </w:r>
    <w:r w:rsidRPr="00020BB2">
      <w:t xml:space="preserve"> -</w:t>
    </w:r>
  </w:p>
  <w:p w:rsidR="009239F7" w:rsidRPr="00020BB2" w:rsidRDefault="009C5217" w:rsidP="00020BB2">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637E0" w:rsidTr="008612A9">
      <w:trPr>
        <w:trHeight w:val="240"/>
        <w:jc w:val="center"/>
      </w:trPr>
      <w:tc>
        <w:tcPr>
          <w:tcW w:w="3794" w:type="dxa"/>
          <w:shd w:val="clear" w:color="auto" w:fill="FFFFFF"/>
          <w:tcMar>
            <w:left w:w="108" w:type="dxa"/>
            <w:right w:w="108" w:type="dxa"/>
          </w:tcMar>
          <w:vAlign w:val="center"/>
        </w:tcPr>
        <w:p w:rsidR="00ED54E0" w:rsidRPr="009239F7" w:rsidRDefault="009C5217"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020BB2" w:rsidP="00B801E9">
          <w:pPr>
            <w:jc w:val="right"/>
            <w:rPr>
              <w:b/>
              <w:color w:val="FF0000"/>
              <w:szCs w:val="16"/>
            </w:rPr>
          </w:pPr>
          <w:r>
            <w:rPr>
              <w:b/>
              <w:color w:val="FF0000"/>
              <w:szCs w:val="16"/>
            </w:rPr>
            <w:t xml:space="preserve"> </w:t>
          </w:r>
        </w:p>
      </w:tc>
    </w:tr>
    <w:bookmarkEnd w:id="24"/>
    <w:tr w:rsidR="005637E0" w:rsidTr="008612A9">
      <w:trPr>
        <w:trHeight w:val="213"/>
        <w:jc w:val="center"/>
      </w:trPr>
      <w:tc>
        <w:tcPr>
          <w:tcW w:w="3794" w:type="dxa"/>
          <w:vMerge w:val="restart"/>
          <w:shd w:val="clear" w:color="auto" w:fill="FFFFFF"/>
          <w:tcMar>
            <w:left w:w="0" w:type="dxa"/>
            <w:right w:w="0" w:type="dxa"/>
          </w:tcMar>
        </w:tcPr>
        <w:p w:rsidR="00ED54E0" w:rsidRPr="009239F7" w:rsidRDefault="009E3FB7" w:rsidP="00B801E9">
          <w:pPr>
            <w:jc w:val="left"/>
          </w:pPr>
          <w:r>
            <w:rPr>
              <w:noProof/>
              <w:lang w:val="en-US"/>
            </w:rPr>
            <w:drawing>
              <wp:inline distT="0" distB="0" distL="0" distR="0" wp14:anchorId="115CAAA4" wp14:editId="2B0B22C2">
                <wp:extent cx="2399030" cy="715010"/>
                <wp:effectExtent l="0" t="0" r="127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C5217" w:rsidP="00B801E9">
          <w:pPr>
            <w:jc w:val="right"/>
            <w:rPr>
              <w:b/>
              <w:szCs w:val="16"/>
            </w:rPr>
          </w:pPr>
        </w:p>
      </w:tc>
    </w:tr>
    <w:tr w:rsidR="005637E0" w:rsidTr="008612A9">
      <w:trPr>
        <w:trHeight w:val="868"/>
        <w:jc w:val="center"/>
      </w:trPr>
      <w:tc>
        <w:tcPr>
          <w:tcW w:w="3794" w:type="dxa"/>
          <w:vMerge/>
          <w:shd w:val="clear" w:color="auto" w:fill="FFFFFF"/>
          <w:tcMar>
            <w:left w:w="108" w:type="dxa"/>
            <w:right w:w="108" w:type="dxa"/>
          </w:tcMar>
        </w:tcPr>
        <w:p w:rsidR="00ED54E0" w:rsidRPr="009239F7" w:rsidRDefault="009C5217" w:rsidP="00B801E9">
          <w:pPr>
            <w:jc w:val="left"/>
            <w:rPr>
              <w:noProof/>
              <w:lang w:eastAsia="en-GB"/>
            </w:rPr>
          </w:pPr>
        </w:p>
      </w:tc>
      <w:tc>
        <w:tcPr>
          <w:tcW w:w="5448" w:type="dxa"/>
          <w:gridSpan w:val="2"/>
          <w:shd w:val="clear" w:color="auto" w:fill="FFFFFF"/>
          <w:tcMar>
            <w:left w:w="108" w:type="dxa"/>
            <w:right w:w="108" w:type="dxa"/>
          </w:tcMar>
        </w:tcPr>
        <w:p w:rsidR="00020BB2" w:rsidRDefault="00020BB2" w:rsidP="00B801E9">
          <w:pPr>
            <w:jc w:val="right"/>
            <w:rPr>
              <w:b/>
              <w:szCs w:val="16"/>
            </w:rPr>
          </w:pPr>
          <w:bookmarkStart w:id="25" w:name="bmkSymbols"/>
          <w:r>
            <w:rPr>
              <w:b/>
              <w:szCs w:val="16"/>
            </w:rPr>
            <w:t>G/TBT/N/SWE/133</w:t>
          </w:r>
        </w:p>
        <w:bookmarkEnd w:id="25"/>
        <w:p w:rsidR="00ED54E0" w:rsidRPr="009239F7" w:rsidRDefault="009C5217" w:rsidP="00B801E9">
          <w:pPr>
            <w:jc w:val="right"/>
            <w:rPr>
              <w:b/>
              <w:szCs w:val="16"/>
            </w:rPr>
          </w:pPr>
        </w:p>
      </w:tc>
    </w:tr>
    <w:tr w:rsidR="005637E0" w:rsidTr="008612A9">
      <w:trPr>
        <w:trHeight w:val="240"/>
        <w:jc w:val="center"/>
      </w:trPr>
      <w:tc>
        <w:tcPr>
          <w:tcW w:w="3794" w:type="dxa"/>
          <w:vMerge/>
          <w:shd w:val="clear" w:color="auto" w:fill="FFFFFF"/>
          <w:tcMar>
            <w:left w:w="108" w:type="dxa"/>
            <w:right w:w="108" w:type="dxa"/>
          </w:tcMar>
          <w:vAlign w:val="center"/>
        </w:tcPr>
        <w:p w:rsidR="00ED54E0" w:rsidRPr="009239F7" w:rsidRDefault="009C5217" w:rsidP="00B801E9"/>
      </w:tc>
      <w:tc>
        <w:tcPr>
          <w:tcW w:w="5448" w:type="dxa"/>
          <w:gridSpan w:val="2"/>
          <w:shd w:val="clear" w:color="auto" w:fill="FFFFFF"/>
          <w:tcMar>
            <w:left w:w="108" w:type="dxa"/>
            <w:right w:w="108" w:type="dxa"/>
          </w:tcMar>
          <w:vAlign w:val="center"/>
        </w:tcPr>
        <w:p w:rsidR="00ED54E0" w:rsidRPr="009239F7" w:rsidRDefault="002D1ACE" w:rsidP="00B801E9">
          <w:pPr>
            <w:jc w:val="right"/>
            <w:rPr>
              <w:szCs w:val="16"/>
            </w:rPr>
          </w:pPr>
          <w:bookmarkStart w:id="26" w:name="spsDateDistribution"/>
          <w:bookmarkStart w:id="27" w:name="bmkDate"/>
          <w:bookmarkEnd w:id="26"/>
          <w:bookmarkEnd w:id="27"/>
          <w:r>
            <w:rPr>
              <w:szCs w:val="16"/>
            </w:rPr>
            <w:t>23 April 2018</w:t>
          </w:r>
        </w:p>
      </w:tc>
    </w:tr>
    <w:tr w:rsidR="005637E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42411" w:rsidP="0097650D">
          <w:pPr>
            <w:jc w:val="left"/>
            <w:rPr>
              <w:b/>
            </w:rPr>
          </w:pPr>
          <w:bookmarkStart w:id="28" w:name="bmkSerial"/>
          <w:r w:rsidRPr="002F6A28">
            <w:rPr>
              <w:color w:val="FF0000"/>
              <w:szCs w:val="16"/>
            </w:rPr>
            <w:t>(</w:t>
          </w:r>
          <w:bookmarkStart w:id="29" w:name="spsSerialNumber"/>
          <w:bookmarkEnd w:id="29"/>
          <w:r w:rsidR="002D1ACE">
            <w:rPr>
              <w:color w:val="FF0000"/>
              <w:szCs w:val="16"/>
            </w:rPr>
            <w:t>18-2520</w:t>
          </w:r>
          <w:r w:rsidRPr="002F6A28">
            <w:rPr>
              <w:color w:val="FF0000"/>
              <w:szCs w:val="16"/>
            </w:rPr>
            <w:t>)</w:t>
          </w:r>
          <w:bookmarkEnd w:id="28"/>
        </w:p>
      </w:tc>
      <w:tc>
        <w:tcPr>
          <w:tcW w:w="3325" w:type="dxa"/>
          <w:tcBorders>
            <w:bottom w:val="single" w:sz="4" w:space="0" w:color="auto"/>
          </w:tcBorders>
          <w:tcMar>
            <w:top w:w="0" w:type="dxa"/>
            <w:left w:w="108" w:type="dxa"/>
            <w:bottom w:w="57" w:type="dxa"/>
            <w:right w:w="108" w:type="dxa"/>
          </w:tcMar>
          <w:vAlign w:val="bottom"/>
        </w:tcPr>
        <w:p w:rsidR="00ED54E0" w:rsidRPr="009239F7" w:rsidRDefault="00142411" w:rsidP="00B801E9">
          <w:pPr>
            <w:jc w:val="right"/>
            <w:rPr>
              <w:szCs w:val="16"/>
            </w:rPr>
          </w:pPr>
          <w:bookmarkStart w:id="3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C521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C5217">
            <w:rPr>
              <w:bCs/>
              <w:noProof/>
              <w:szCs w:val="16"/>
            </w:rPr>
            <w:t>2</w:t>
          </w:r>
          <w:r w:rsidRPr="002F6A28">
            <w:rPr>
              <w:bCs/>
              <w:szCs w:val="16"/>
            </w:rPr>
            <w:fldChar w:fldCharType="end"/>
          </w:r>
          <w:bookmarkEnd w:id="30"/>
        </w:p>
      </w:tc>
    </w:tr>
    <w:tr w:rsidR="005637E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20BB2" w:rsidP="00B801E9">
          <w:pPr>
            <w:jc w:val="left"/>
            <w:rPr>
              <w:sz w:val="14"/>
              <w:szCs w:val="16"/>
            </w:rPr>
          </w:pPr>
          <w:bookmarkStart w:id="31" w:name="bmkCommittee"/>
          <w:r>
            <w:rPr>
              <w:b/>
            </w:rPr>
            <w:t>Committee on Technical Barriers to Trade</w:t>
          </w:r>
          <w:bookmarkEnd w:id="31"/>
        </w:p>
      </w:tc>
      <w:tc>
        <w:tcPr>
          <w:tcW w:w="3325" w:type="dxa"/>
          <w:tcBorders>
            <w:top w:val="single" w:sz="4" w:space="0" w:color="auto"/>
          </w:tcBorders>
          <w:tcMar>
            <w:top w:w="113" w:type="dxa"/>
            <w:left w:w="108" w:type="dxa"/>
            <w:bottom w:w="57" w:type="dxa"/>
            <w:right w:w="108" w:type="dxa"/>
          </w:tcMar>
          <w:vAlign w:val="center"/>
        </w:tcPr>
        <w:p w:rsidR="00ED54E0" w:rsidRPr="002F6A28" w:rsidRDefault="00020BB2" w:rsidP="00B801E9">
          <w:pPr>
            <w:jc w:val="right"/>
            <w:rPr>
              <w:bCs/>
              <w:szCs w:val="18"/>
            </w:rPr>
          </w:pPr>
          <w:bookmarkStart w:id="32" w:name="bmkLanguage"/>
          <w:r>
            <w:rPr>
              <w:bCs/>
              <w:szCs w:val="18"/>
            </w:rPr>
            <w:t>Original: English</w:t>
          </w:r>
          <w:bookmarkEnd w:id="32"/>
        </w:p>
      </w:tc>
    </w:tr>
  </w:tbl>
  <w:p w:rsidR="00ED54E0" w:rsidRPr="002F6A28" w:rsidRDefault="009C5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6BAF87E">
      <w:start w:val="1"/>
      <w:numFmt w:val="decimal"/>
      <w:pStyle w:val="SummaryText"/>
      <w:lvlText w:val="%1."/>
      <w:lvlJc w:val="left"/>
      <w:pPr>
        <w:ind w:left="360" w:hanging="360"/>
      </w:pPr>
    </w:lvl>
    <w:lvl w:ilvl="1" w:tplc="99BEABB8" w:tentative="1">
      <w:start w:val="1"/>
      <w:numFmt w:val="lowerLetter"/>
      <w:lvlText w:val="%2."/>
      <w:lvlJc w:val="left"/>
      <w:pPr>
        <w:ind w:left="1080" w:hanging="360"/>
      </w:pPr>
    </w:lvl>
    <w:lvl w:ilvl="2" w:tplc="3A0C2CDC" w:tentative="1">
      <w:start w:val="1"/>
      <w:numFmt w:val="lowerRoman"/>
      <w:lvlText w:val="%3."/>
      <w:lvlJc w:val="right"/>
      <w:pPr>
        <w:ind w:left="1800" w:hanging="180"/>
      </w:pPr>
    </w:lvl>
    <w:lvl w:ilvl="3" w:tplc="4CDE409C" w:tentative="1">
      <w:start w:val="1"/>
      <w:numFmt w:val="decimal"/>
      <w:lvlText w:val="%4."/>
      <w:lvlJc w:val="left"/>
      <w:pPr>
        <w:ind w:left="2520" w:hanging="360"/>
      </w:pPr>
    </w:lvl>
    <w:lvl w:ilvl="4" w:tplc="F228AD9E" w:tentative="1">
      <w:start w:val="1"/>
      <w:numFmt w:val="lowerLetter"/>
      <w:lvlText w:val="%5."/>
      <w:lvlJc w:val="left"/>
      <w:pPr>
        <w:ind w:left="3240" w:hanging="360"/>
      </w:pPr>
    </w:lvl>
    <w:lvl w:ilvl="5" w:tplc="15501CF6" w:tentative="1">
      <w:start w:val="1"/>
      <w:numFmt w:val="lowerRoman"/>
      <w:lvlText w:val="%6."/>
      <w:lvlJc w:val="right"/>
      <w:pPr>
        <w:ind w:left="3960" w:hanging="180"/>
      </w:pPr>
    </w:lvl>
    <w:lvl w:ilvl="6" w:tplc="817AA2A8" w:tentative="1">
      <w:start w:val="1"/>
      <w:numFmt w:val="decimal"/>
      <w:lvlText w:val="%7."/>
      <w:lvlJc w:val="left"/>
      <w:pPr>
        <w:ind w:left="4680" w:hanging="360"/>
      </w:pPr>
    </w:lvl>
    <w:lvl w:ilvl="7" w:tplc="7C7E6BC6" w:tentative="1">
      <w:start w:val="1"/>
      <w:numFmt w:val="lowerLetter"/>
      <w:lvlText w:val="%8."/>
      <w:lvlJc w:val="left"/>
      <w:pPr>
        <w:ind w:left="5400" w:hanging="360"/>
      </w:pPr>
    </w:lvl>
    <w:lvl w:ilvl="8" w:tplc="F4B099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E0"/>
    <w:rsid w:val="00020BB2"/>
    <w:rsid w:val="00142411"/>
    <w:rsid w:val="00260B55"/>
    <w:rsid w:val="002857ED"/>
    <w:rsid w:val="002A47E9"/>
    <w:rsid w:val="002D1ACE"/>
    <w:rsid w:val="00475D92"/>
    <w:rsid w:val="004C4F73"/>
    <w:rsid w:val="005637E0"/>
    <w:rsid w:val="005F3272"/>
    <w:rsid w:val="008A644E"/>
    <w:rsid w:val="009C5217"/>
    <w:rsid w:val="009E3FB7"/>
    <w:rsid w:val="00B4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kommerskollegium@kommers.s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SWE/18_2142_00_e.pdf" TargetMode="External"/><Relationship Id="rId4" Type="http://schemas.openxmlformats.org/officeDocument/2006/relationships/settings" Target="settings.xml"/><Relationship Id="rId9" Type="http://schemas.openxmlformats.org/officeDocument/2006/relationships/hyperlink" Target="http://www.kommers.s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3341</Characters>
  <Application>Microsoft Office Word</Application>
  <DocSecurity>0</DocSecurity>
  <Lines>68</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20</cp:revision>
  <cp:lastPrinted>2018-04-23T10:22:00Z</cp:lastPrinted>
  <dcterms:created xsi:type="dcterms:W3CDTF">2018-04-20T13:48:00Z</dcterms:created>
  <dcterms:modified xsi:type="dcterms:W3CDTF">2018-04-23T13:22:00Z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G/TBT/N/SWE/133</vt:lpwstr>
  </property>
</Properties>
</file>